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14CBA" w14:paraId="18DAC0AC" w14:textId="05DC0FDF">
            <w:pPr>
              <w:spacing w:after="0" w:line="240" w:lineRule="auto"/>
              <w:jc w:val="both"/>
              <w:rPr>
                <w:rFonts w:ascii="Arial" w:hAnsi="Arial" w:cs="Arial"/>
                <w:bCs/>
                <w:sz w:val="20"/>
                <w:szCs w:val="20"/>
              </w:rPr>
            </w:pPr>
            <w:r w:rsidRPr="007548AA">
              <w:rPr>
                <w:rFonts w:ascii="Arial" w:hAnsi="Arial" w:cs="Arial"/>
                <w:bCs/>
                <w:sz w:val="20"/>
                <w:szCs w:val="20"/>
              </w:rPr>
              <w:t>OFICINA ASESORA JURÍDICA</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A44947" w14:paraId="75DB3369" w14:textId="089952EB">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60531D" w:rsidP="0060531D" w:rsidRDefault="0060531D" w14:paraId="755033E9" w14:textId="206A7C00">
            <w:pPr>
              <w:tabs>
                <w:tab w:val="left" w:pos="1845"/>
              </w:tabs>
              <w:snapToGrid w:val="0"/>
              <w:spacing w:after="0" w:line="240" w:lineRule="auto"/>
              <w:jc w:val="both"/>
              <w:rPr>
                <w:rFonts w:ascii="Arial" w:hAnsi="Arial" w:eastAsia="Times New Roman" w:cs="Arial"/>
                <w:bCs/>
                <w:sz w:val="20"/>
                <w:szCs w:val="20"/>
              </w:rPr>
            </w:pPr>
            <w:r w:rsidRPr="00D74701">
              <w:t>Administración Judicial</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714CBA" w:rsidRDefault="0089671A" w14:paraId="4A97D454" w14:textId="248272A9">
            <w:pPr>
              <w:tabs>
                <w:tab w:val="center" w:pos="2788"/>
              </w:tabs>
              <w:snapToGrid w:val="0"/>
              <w:spacing w:after="0" w:line="240" w:lineRule="auto"/>
              <w:jc w:val="both"/>
              <w:rPr>
                <w:rFonts w:ascii="Arial" w:hAnsi="Arial" w:eastAsia="Times New Roman" w:cs="Arial"/>
                <w:bCs/>
                <w:sz w:val="20"/>
                <w:szCs w:val="20"/>
              </w:rPr>
            </w:pPr>
            <w:r w:rsidRPr="0089671A">
              <w:rPr>
                <w:rFonts w:ascii="Arial" w:hAnsi="Arial" w:eastAsia="Times New Roman" w:cs="Arial"/>
                <w:bCs/>
                <w:sz w:val="20"/>
                <w:szCs w:val="20"/>
              </w:rPr>
              <w:t>Manual de Defensa Judicial del Proceso Administración Judicial (MP – GNJA – PO – 03 – PR – 01); MP – GNJA – PO – 03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60531D" w14:paraId="04F36666" w14:textId="6FD0AC19">
            <w:pPr>
              <w:spacing w:after="0" w:line="240" w:lineRule="auto"/>
              <w:jc w:val="both"/>
              <w:rPr>
                <w:rFonts w:ascii="Arial" w:hAnsi="Arial" w:eastAsia="Times New Roman" w:cs="Arial"/>
                <w:bCs/>
                <w:sz w:val="20"/>
                <w:szCs w:val="20"/>
              </w:rPr>
            </w:pPr>
            <w:r w:rsidRPr="0060531D">
              <w:rPr>
                <w:rFonts w:ascii="Arial" w:hAnsi="Arial" w:eastAsia="Times New Roman" w:cs="Arial"/>
                <w:bCs/>
                <w:sz w:val="20"/>
                <w:szCs w:val="20"/>
              </w:rPr>
              <w:t>PROCESOS JURÍDICOS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60531D" w14:paraId="773B7858" w14:textId="10D7E745">
            <w:pPr>
              <w:jc w:val="both"/>
              <w:rPr>
                <w:rFonts w:ascii="Arial" w:hAnsi="Arial" w:cs="Arial"/>
                <w:sz w:val="20"/>
                <w:szCs w:val="20"/>
              </w:rPr>
            </w:pPr>
            <w:r w:rsidRPr="0060531D">
              <w:rPr>
                <w:rFonts w:ascii="Arial" w:hAnsi="Arial" w:cs="Arial"/>
                <w:sz w:val="20"/>
                <w:szCs w:val="20"/>
              </w:rPr>
              <w:t xml:space="preserve">Procesos </w:t>
            </w:r>
            <w:r w:rsidR="0089671A">
              <w:rPr>
                <w:rFonts w:ascii="Arial" w:hAnsi="Arial" w:cs="Arial"/>
                <w:sz w:val="20"/>
                <w:szCs w:val="20"/>
              </w:rPr>
              <w:t>Laborales</w:t>
            </w: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00EB7BB1" w14:paraId="5794922E"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AD000C" w:rsidP="00AC523F" w:rsidRDefault="0089671A" w14:paraId="7FC6AF1C" w14:textId="27E4DB8D">
            <w:pPr>
              <w:snapToGrid w:val="0"/>
              <w:spacing w:after="0" w:line="240" w:lineRule="auto"/>
              <w:jc w:val="both"/>
              <w:rPr>
                <w:rFonts w:ascii="Arial" w:hAnsi="Arial" w:cs="Arial"/>
                <w:sz w:val="20"/>
                <w:szCs w:val="20"/>
              </w:rPr>
            </w:pPr>
            <w:r w:rsidRPr="0089671A">
              <w:rPr>
                <w:rFonts w:ascii="Arial" w:hAnsi="Arial" w:cs="Arial"/>
                <w:sz w:val="20"/>
                <w:szCs w:val="20"/>
              </w:rPr>
              <w:t xml:space="preserve">Documentos que evidencian los procedimientos legales de las controversias surgidas entre los funcionarios (en calidad de trabajadores) y la </w:t>
            </w:r>
            <w:proofErr w:type="spellStart"/>
            <w:r w:rsidRPr="0089671A">
              <w:rPr>
                <w:rFonts w:ascii="Arial" w:hAnsi="Arial" w:cs="Arial"/>
                <w:sz w:val="20"/>
                <w:szCs w:val="20"/>
              </w:rPr>
              <w:t>Supertintendencia</w:t>
            </w:r>
            <w:proofErr w:type="spellEnd"/>
            <w:r w:rsidRPr="0089671A">
              <w:rPr>
                <w:rFonts w:ascii="Arial" w:hAnsi="Arial" w:cs="Arial"/>
                <w:sz w:val="20"/>
                <w:szCs w:val="20"/>
              </w:rPr>
              <w:t xml:space="preserve"> (en calidad de entidad pública). Estas disputas pueden estar relacionadas con condiciones de trabajo, salarios, despidos, prestaciones sociales, entre otros.</w:t>
            </w:r>
          </w:p>
          <w:p w:rsidR="0089671A" w:rsidP="00AC523F" w:rsidRDefault="0089671A" w14:paraId="11C77D2D" w14:textId="77777777">
            <w:pPr>
              <w:snapToGrid w:val="0"/>
              <w:spacing w:after="0" w:line="240" w:lineRule="auto"/>
              <w:jc w:val="both"/>
              <w:rPr>
                <w:rFonts w:ascii="Arial" w:hAnsi="Arial" w:cs="Arial"/>
                <w:sz w:val="20"/>
                <w:szCs w:val="20"/>
              </w:rPr>
            </w:pPr>
          </w:p>
          <w:p w:rsidR="00A021C2" w:rsidP="00AC523F" w:rsidRDefault="00A021C2" w14:paraId="11EA32F3" w14:textId="01590C62">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CE5DEC" w:rsidR="00CE5DEC" w:rsidP="00CE5DEC" w:rsidRDefault="00CE5DEC" w14:paraId="73333691" w14:textId="77777777">
            <w:pPr>
              <w:pStyle w:val="Prrafodelista"/>
              <w:numPr>
                <w:ilvl w:val="0"/>
                <w:numId w:val="19"/>
              </w:numPr>
              <w:snapToGrid w:val="0"/>
              <w:spacing w:after="0" w:line="240" w:lineRule="auto"/>
              <w:jc w:val="both"/>
              <w:rPr>
                <w:rFonts w:ascii="Arial" w:hAnsi="Arial" w:cs="Arial"/>
                <w:bCs/>
                <w:sz w:val="20"/>
                <w:szCs w:val="20"/>
              </w:rPr>
            </w:pPr>
            <w:r w:rsidRPr="00CE5DEC">
              <w:rPr>
                <w:rFonts w:ascii="Arial" w:hAnsi="Arial" w:cs="Arial"/>
                <w:bCs/>
                <w:sz w:val="20"/>
                <w:szCs w:val="20"/>
              </w:rPr>
              <w:t xml:space="preserve">Demanda </w:t>
            </w:r>
          </w:p>
          <w:p w:rsidRPr="00CE5DEC" w:rsidR="00CE5DEC" w:rsidP="00CE5DEC" w:rsidRDefault="00CE5DEC" w14:paraId="0EC1494C" w14:textId="77777777">
            <w:pPr>
              <w:pStyle w:val="Prrafodelista"/>
              <w:numPr>
                <w:ilvl w:val="0"/>
                <w:numId w:val="19"/>
              </w:numPr>
              <w:snapToGrid w:val="0"/>
              <w:spacing w:after="0" w:line="240" w:lineRule="auto"/>
              <w:jc w:val="both"/>
              <w:rPr>
                <w:rFonts w:ascii="Arial" w:hAnsi="Arial" w:cs="Arial"/>
                <w:bCs/>
                <w:sz w:val="20"/>
                <w:szCs w:val="20"/>
              </w:rPr>
            </w:pPr>
            <w:r w:rsidRPr="00CE5DEC">
              <w:rPr>
                <w:rFonts w:ascii="Arial" w:hAnsi="Arial" w:cs="Arial"/>
                <w:bCs/>
                <w:sz w:val="20"/>
                <w:szCs w:val="20"/>
              </w:rPr>
              <w:t xml:space="preserve">Contestación de la demanda </w:t>
            </w:r>
          </w:p>
          <w:p w:rsidRPr="00CE5DEC" w:rsidR="00CE5DEC" w:rsidP="00CE5DEC" w:rsidRDefault="00CE5DEC" w14:paraId="2825B351" w14:textId="77777777">
            <w:pPr>
              <w:pStyle w:val="Prrafodelista"/>
              <w:numPr>
                <w:ilvl w:val="0"/>
                <w:numId w:val="19"/>
              </w:numPr>
              <w:snapToGrid w:val="0"/>
              <w:spacing w:after="0" w:line="240" w:lineRule="auto"/>
              <w:jc w:val="both"/>
              <w:rPr>
                <w:rFonts w:ascii="Arial" w:hAnsi="Arial" w:cs="Arial"/>
                <w:bCs/>
                <w:sz w:val="20"/>
                <w:szCs w:val="20"/>
              </w:rPr>
            </w:pPr>
            <w:r w:rsidRPr="00CE5DEC">
              <w:rPr>
                <w:rFonts w:ascii="Arial" w:hAnsi="Arial" w:cs="Arial"/>
                <w:bCs/>
                <w:sz w:val="20"/>
                <w:szCs w:val="20"/>
              </w:rPr>
              <w:t xml:space="preserve">Audiencia de juzgamiento </w:t>
            </w:r>
          </w:p>
          <w:p w:rsidRPr="00CE5DEC" w:rsidR="00CE5DEC" w:rsidP="00CE5DEC" w:rsidRDefault="00CE5DEC" w14:paraId="495CE193" w14:textId="77777777">
            <w:pPr>
              <w:pStyle w:val="Prrafodelista"/>
              <w:numPr>
                <w:ilvl w:val="0"/>
                <w:numId w:val="19"/>
              </w:numPr>
              <w:snapToGrid w:val="0"/>
              <w:spacing w:after="0" w:line="240" w:lineRule="auto"/>
              <w:jc w:val="both"/>
              <w:rPr>
                <w:rFonts w:ascii="Arial" w:hAnsi="Arial" w:cs="Arial"/>
                <w:bCs/>
                <w:sz w:val="20"/>
                <w:szCs w:val="20"/>
              </w:rPr>
            </w:pPr>
            <w:r w:rsidRPr="00CE5DEC">
              <w:rPr>
                <w:rFonts w:ascii="Arial" w:hAnsi="Arial" w:cs="Arial"/>
                <w:bCs/>
                <w:sz w:val="20"/>
                <w:szCs w:val="20"/>
              </w:rPr>
              <w:t xml:space="preserve">Impugnación </w:t>
            </w:r>
          </w:p>
          <w:p w:rsidRPr="00CE5DEC" w:rsidR="00CE5DEC" w:rsidP="00CE5DEC" w:rsidRDefault="00CE5DEC" w14:paraId="0B469242" w14:textId="77777777">
            <w:pPr>
              <w:pStyle w:val="Prrafodelista"/>
              <w:numPr>
                <w:ilvl w:val="0"/>
                <w:numId w:val="19"/>
              </w:numPr>
              <w:snapToGrid w:val="0"/>
              <w:spacing w:after="0" w:line="240" w:lineRule="auto"/>
              <w:jc w:val="both"/>
              <w:rPr>
                <w:rFonts w:ascii="Arial" w:hAnsi="Arial" w:cs="Arial"/>
                <w:bCs/>
                <w:sz w:val="20"/>
                <w:szCs w:val="20"/>
              </w:rPr>
            </w:pPr>
            <w:r w:rsidRPr="00CE5DEC">
              <w:rPr>
                <w:rFonts w:ascii="Arial" w:hAnsi="Arial" w:cs="Arial"/>
                <w:bCs/>
                <w:sz w:val="20"/>
                <w:szCs w:val="20"/>
              </w:rPr>
              <w:t xml:space="preserve">Fallo </w:t>
            </w:r>
          </w:p>
          <w:p w:rsidRPr="00AD000C" w:rsidR="00A021C2" w:rsidP="00CE5DEC" w:rsidRDefault="00CE5DEC" w14:paraId="229209F4" w14:textId="2D6596E4">
            <w:pPr>
              <w:pStyle w:val="Prrafodelista"/>
              <w:numPr>
                <w:ilvl w:val="0"/>
                <w:numId w:val="19"/>
              </w:numPr>
              <w:snapToGrid w:val="0"/>
              <w:spacing w:after="0" w:line="240" w:lineRule="auto"/>
              <w:jc w:val="both"/>
              <w:rPr>
                <w:rFonts w:ascii="Arial" w:hAnsi="Arial" w:cs="Arial"/>
                <w:bCs/>
                <w:sz w:val="20"/>
                <w:szCs w:val="20"/>
              </w:rPr>
            </w:pPr>
            <w:r w:rsidRPr="00CE5DEC">
              <w:rPr>
                <w:rFonts w:ascii="Arial" w:hAnsi="Arial" w:cs="Arial"/>
                <w:bCs/>
                <w:sz w:val="20"/>
                <w:szCs w:val="20"/>
              </w:rPr>
              <w:t>Resolución</w:t>
            </w:r>
          </w:p>
        </w:tc>
      </w:tr>
      <w:tr w:rsidR="007E164F" w:rsidTr="00EB7BB1" w14:paraId="11FF41E0"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00EB7BB1" w14:paraId="40BA3F45"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rsidTr="00D842BB" w14:paraId="74E63E28" w14:textId="77777777">
        <w:trPr>
          <w:trHeight w:val="295"/>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7E164F" w:rsidTr="00EB7BB1" w14:paraId="5C91940C" w14:textId="77777777">
        <w:trPr>
          <w:trHeight w:val="277"/>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3FEB6DBB" w14:textId="77777777">
            <w:pPr>
              <w:spacing w:after="0"/>
              <w:rPr>
                <w:rFonts w:ascii="Arial" w:hAnsi="Arial" w:cs="Arial"/>
                <w:bCs/>
                <w:sz w:val="20"/>
                <w:szCs w:val="20"/>
              </w:rPr>
            </w:pPr>
            <w:r w:rsidRPr="00637CD4">
              <w:rPr>
                <w:rFonts w:ascii="Arial" w:hAnsi="Arial" w:cs="Arial"/>
                <w:b/>
                <w:bCs/>
                <w:sz w:val="20"/>
                <w:szCs w:val="20"/>
              </w:rPr>
              <w:t>2.5 Fechas extremas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D842BB" w14:paraId="45DD79AC" w14:textId="11490ADA">
            <w:pPr>
              <w:snapToGrid w:val="0"/>
              <w:spacing w:after="0"/>
              <w:jc w:val="both"/>
              <w:rPr>
                <w:rFonts w:ascii="Arial" w:hAnsi="Arial" w:cs="Arial"/>
                <w:bCs/>
                <w:color w:val="FF0000"/>
                <w:sz w:val="20"/>
                <w:szCs w:val="20"/>
              </w:rPr>
            </w:pPr>
            <w:r w:rsidRPr="00D842BB">
              <w:rPr>
                <w:rFonts w:ascii="Arial" w:hAnsi="Arial" w:eastAsia="Arial" w:cs="Arial"/>
                <w:sz w:val="20"/>
                <w:szCs w:val="20"/>
              </w:rPr>
              <w:t>08/02/2019– 07/06/2024</w:t>
            </w:r>
          </w:p>
        </w:tc>
      </w:tr>
      <w:tr w:rsidR="007E164F" w:rsidTr="00EB7BB1" w14:paraId="2105AAC7" w14:textId="77777777">
        <w:trPr>
          <w:trHeight w:val="302"/>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D842BB" w14:paraId="34A109E7" w14:textId="570E9E3E">
            <w:pPr>
              <w:snapToGrid w:val="0"/>
              <w:spacing w:after="0"/>
              <w:jc w:val="both"/>
              <w:rPr>
                <w:rFonts w:ascii="Arial" w:hAnsi="Arial" w:cs="Arial"/>
                <w:bCs/>
                <w:color w:val="FF0000"/>
                <w:sz w:val="20"/>
                <w:szCs w:val="20"/>
              </w:rPr>
            </w:pPr>
            <w:r w:rsidRPr="00D842BB">
              <w:rPr>
                <w:rFonts w:ascii="Arial" w:hAnsi="Arial" w:cs="Arial"/>
                <w:bCs/>
                <w:sz w:val="20"/>
                <w:szCs w:val="20"/>
              </w:rPr>
              <w:t>2,8</w:t>
            </w:r>
            <w:r>
              <w:rPr>
                <w:rFonts w:ascii="Arial" w:hAnsi="Arial" w:cs="Arial"/>
                <w:bCs/>
                <w:sz w:val="20"/>
                <w:szCs w:val="20"/>
              </w:rPr>
              <w:t>ML</w:t>
            </w:r>
            <w:r w:rsidRPr="00D842BB">
              <w:rPr>
                <w:rFonts w:ascii="Arial" w:hAnsi="Arial" w:cs="Arial"/>
                <w:bCs/>
                <w:sz w:val="20"/>
                <w:szCs w:val="20"/>
              </w:rPr>
              <w:t xml:space="preserve"> – 58GB</w:t>
            </w:r>
          </w:p>
        </w:tc>
      </w:tr>
      <w:tr w:rsidR="007E164F" w:rsidTr="00EB7BB1" w14:paraId="0B1C4ACE" w14:textId="77777777">
        <w:trPr>
          <w:trHeight w:val="338"/>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637CD4" w14:paraId="1850509F" w14:textId="77777777">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p w:rsidR="003202C1" w:rsidP="00EB7BB1" w:rsidRDefault="003202C1" w14:paraId="76C1728A" w14:textId="77777777">
            <w:pPr>
              <w:spacing w:after="0" w:line="240" w:lineRule="auto"/>
              <w:rPr>
                <w:rFonts w:ascii="Arial" w:hAnsi="Arial" w:cs="Arial"/>
                <w:bCs/>
                <w:sz w:val="20"/>
                <w:szCs w:val="20"/>
              </w:rPr>
            </w:pPr>
          </w:p>
          <w:p w:rsidRPr="00637CD4" w:rsidR="003202C1" w:rsidP="00EB7BB1" w:rsidRDefault="003202C1" w14:paraId="3C6BB56F" w14:textId="2A5A7DCB">
            <w:pPr>
              <w:spacing w:after="0" w:line="240" w:lineRule="auto"/>
              <w:rPr>
                <w:rFonts w:ascii="Arial" w:hAnsi="Arial" w:cs="Arial"/>
                <w:sz w:val="20"/>
                <w:szCs w:val="20"/>
              </w:rPr>
            </w:pPr>
            <w:r w:rsidRPr="003202C1">
              <w:rPr>
                <w:rFonts w:ascii="Arial" w:hAnsi="Arial" w:cs="Arial"/>
                <w:sz w:val="20"/>
                <w:szCs w:val="20"/>
              </w:rPr>
              <w:t>Sistema Único de Gestión e Información Litigiosa del Estado – (e- KOGUI), Agencia Nacional de Defensa Jurídica del Estado</w:t>
            </w:r>
          </w:p>
        </w:tc>
      </w:tr>
    </w:tbl>
    <w:p w:rsidRPr="00303CE7" w:rsidR="007E164F" w:rsidP="007E164F" w:rsidRDefault="007E164F" w14:paraId="576E6E64"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796C937F" w14:paraId="31EF8373"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D842BB" w:rsidP="00D842BB" w:rsidRDefault="00D842BB" w14:paraId="345E07A7" w14:textId="77777777">
            <w:pPr>
              <w:pStyle w:val="Textoindependiente"/>
              <w:numPr>
                <w:ilvl w:val="0"/>
                <w:numId w:val="17"/>
              </w:numPr>
              <w:spacing w:after="0" w:line="240" w:lineRule="auto"/>
              <w:ind w:left="342"/>
              <w:jc w:val="both"/>
              <w:rPr>
                <w:rFonts w:ascii="Arial" w:hAnsi="Arial" w:cs="Arial"/>
                <w:b/>
                <w:sz w:val="20"/>
                <w:szCs w:val="20"/>
              </w:rPr>
            </w:pPr>
            <w:r w:rsidRPr="00D842BB">
              <w:rPr>
                <w:rFonts w:ascii="Arial" w:hAnsi="Arial" w:cs="Arial"/>
                <w:b/>
                <w:sz w:val="20"/>
                <w:szCs w:val="20"/>
              </w:rPr>
              <w:t>Constitución Política de Colombia</w:t>
            </w:r>
          </w:p>
          <w:p w:rsidRPr="00D842BB" w:rsidR="00D842BB" w:rsidP="00D842BB" w:rsidRDefault="00D842BB" w14:paraId="5A40D7AF" w14:textId="1658631E">
            <w:pPr>
              <w:pStyle w:val="Textoindependiente"/>
              <w:spacing w:after="0" w:line="240" w:lineRule="auto"/>
              <w:ind w:left="342"/>
              <w:jc w:val="both"/>
              <w:rPr>
                <w:rFonts w:ascii="Arial" w:hAnsi="Arial" w:cs="Arial"/>
                <w:bCs/>
                <w:sz w:val="20"/>
                <w:szCs w:val="20"/>
              </w:rPr>
            </w:pPr>
            <w:r w:rsidRPr="796C937F" w:rsidR="5D3D8CCF">
              <w:rPr>
                <w:rFonts w:ascii="Arial" w:hAnsi="Arial" w:cs="Arial"/>
                <w:sz w:val="20"/>
                <w:szCs w:val="20"/>
              </w:rPr>
              <w:t>Establece los derechos fundamentales de los trabajadores</w:t>
            </w:r>
          </w:p>
          <w:p w:rsidR="00732AD5" w:rsidP="796C937F" w:rsidRDefault="00732AD5" w14:paraId="5436279E" w14:textId="4C7A2F00">
            <w:pPr>
              <w:pStyle w:val="Textoindependiente"/>
              <w:numPr>
                <w:ilvl w:val="0"/>
                <w:numId w:val="17"/>
              </w:numPr>
              <w:spacing w:after="0" w:line="240" w:lineRule="auto"/>
              <w:ind w:left="342"/>
              <w:jc w:val="both"/>
              <w:rPr>
                <w:rFonts w:ascii="Arial" w:hAnsi="Arial" w:cs="Arial"/>
                <w:b w:val="1"/>
                <w:bCs w:val="1"/>
                <w:sz w:val="20"/>
                <w:szCs w:val="20"/>
              </w:rPr>
            </w:pPr>
            <w:r w:rsidRPr="796C937F" w:rsidR="3421DC59">
              <w:rPr>
                <w:rFonts w:ascii="Arial" w:hAnsi="Arial" w:cs="Arial"/>
                <w:b w:val="1"/>
                <w:bCs w:val="1"/>
                <w:sz w:val="20"/>
                <w:szCs w:val="20"/>
              </w:rPr>
              <w:t>Código Sustantivo del Trabajo</w:t>
            </w:r>
            <w:r w:rsidRPr="796C937F" w:rsidR="48830CDD">
              <w:rPr>
                <w:rFonts w:ascii="Arial" w:hAnsi="Arial" w:cs="Arial"/>
                <w:b w:val="1"/>
                <w:bCs w:val="1"/>
                <w:sz w:val="20"/>
                <w:szCs w:val="20"/>
              </w:rPr>
              <w:t xml:space="preserve"> (junio 07)</w:t>
            </w:r>
          </w:p>
          <w:p w:rsidRPr="00732AD5" w:rsidR="00771D17" w:rsidP="00732AD5" w:rsidRDefault="00732AD5" w14:paraId="390CA146" w14:textId="3C9ABF6D">
            <w:pPr>
              <w:pStyle w:val="Textoindependiente"/>
              <w:spacing w:after="0" w:line="240" w:lineRule="auto"/>
              <w:ind w:left="342"/>
              <w:jc w:val="both"/>
              <w:rPr>
                <w:rFonts w:ascii="Arial" w:hAnsi="Arial" w:cs="Arial"/>
                <w:bCs/>
                <w:sz w:val="20"/>
                <w:szCs w:val="20"/>
              </w:rPr>
            </w:pPr>
            <w:r w:rsidRPr="00732AD5">
              <w:rPr>
                <w:rFonts w:ascii="Arial" w:hAnsi="Arial" w:cs="Arial"/>
                <w:bCs/>
                <w:sz w:val="20"/>
                <w:szCs w:val="20"/>
              </w:rPr>
              <w:t>Contiene las normas que regulan las relaciones individuales y colectivas de trabajo, así como los procedimientos para la solución de conflictos.</w:t>
            </w:r>
          </w:p>
          <w:p w:rsidRPr="00732AD5" w:rsidR="00732AD5" w:rsidP="00732AD5" w:rsidRDefault="00732AD5" w14:paraId="17AE8913" w14:textId="77777777">
            <w:pPr>
              <w:pStyle w:val="Textoindependiente"/>
              <w:spacing w:after="0" w:line="240" w:lineRule="auto"/>
              <w:ind w:left="342"/>
              <w:jc w:val="both"/>
              <w:rPr>
                <w:rFonts w:ascii="Arial" w:hAnsi="Arial" w:cs="Arial"/>
                <w:b/>
                <w:sz w:val="20"/>
                <w:szCs w:val="20"/>
              </w:rPr>
            </w:pPr>
          </w:p>
          <w:p w:rsidR="00732AD5" w:rsidP="796C937F" w:rsidRDefault="00732AD5" w14:paraId="71FA637F" w14:textId="7C238A21">
            <w:pPr>
              <w:pStyle w:val="Textoindependiente"/>
              <w:numPr>
                <w:ilvl w:val="0"/>
                <w:numId w:val="17"/>
              </w:numPr>
              <w:spacing w:after="0" w:line="240" w:lineRule="auto"/>
              <w:ind w:left="342"/>
              <w:jc w:val="both"/>
              <w:rPr>
                <w:rFonts w:ascii="Arial" w:hAnsi="Arial" w:cs="Arial"/>
                <w:b w:val="1"/>
                <w:bCs w:val="1"/>
                <w:sz w:val="20"/>
                <w:szCs w:val="20"/>
              </w:rPr>
            </w:pPr>
            <w:r w:rsidRPr="796C937F" w:rsidR="3421DC59">
              <w:rPr>
                <w:rFonts w:ascii="Arial" w:hAnsi="Arial" w:cs="Arial"/>
                <w:b w:val="1"/>
                <w:bCs w:val="1"/>
                <w:sz w:val="20"/>
                <w:szCs w:val="20"/>
              </w:rPr>
              <w:t>Ley 794 de 2003</w:t>
            </w:r>
            <w:r w:rsidRPr="796C937F" w:rsidR="7361D7CC">
              <w:rPr>
                <w:rFonts w:ascii="Arial" w:hAnsi="Arial" w:cs="Arial"/>
                <w:b w:val="1"/>
                <w:bCs w:val="1"/>
                <w:sz w:val="20"/>
                <w:szCs w:val="20"/>
              </w:rPr>
              <w:t xml:space="preserve"> (enero 8)</w:t>
            </w:r>
          </w:p>
          <w:p w:rsidRPr="00732AD5" w:rsidR="00771D17" w:rsidP="00732AD5" w:rsidRDefault="00732AD5" w14:paraId="73825598" w14:textId="2DC7E1AB">
            <w:pPr>
              <w:pStyle w:val="Textoindependiente"/>
              <w:spacing w:after="0" w:line="240" w:lineRule="auto"/>
              <w:ind w:left="342"/>
              <w:jc w:val="both"/>
              <w:rPr>
                <w:rFonts w:ascii="Arial" w:hAnsi="Arial" w:cs="Arial"/>
                <w:bCs/>
                <w:sz w:val="20"/>
                <w:szCs w:val="20"/>
              </w:rPr>
            </w:pPr>
            <w:r w:rsidRPr="00732AD5">
              <w:rPr>
                <w:rFonts w:ascii="Arial" w:hAnsi="Arial" w:cs="Arial"/>
                <w:bCs/>
                <w:sz w:val="20"/>
                <w:szCs w:val="20"/>
              </w:rPr>
              <w:t>Establece que las normas procesales son de orden público y deben cumplirse obligatoriamente, excepto cuando la ley lo autorice expresamente.</w:t>
            </w:r>
          </w:p>
          <w:p w:rsidRPr="00732AD5" w:rsidR="00732AD5" w:rsidP="00732AD5" w:rsidRDefault="00732AD5" w14:paraId="68293190" w14:textId="77777777">
            <w:pPr>
              <w:pStyle w:val="Textoindependiente"/>
              <w:spacing w:after="0" w:line="240" w:lineRule="auto"/>
              <w:ind w:left="342"/>
              <w:jc w:val="both"/>
              <w:rPr>
                <w:rFonts w:ascii="Arial" w:hAnsi="Arial" w:cs="Arial"/>
                <w:b/>
                <w:sz w:val="20"/>
                <w:szCs w:val="20"/>
              </w:rPr>
            </w:pPr>
          </w:p>
          <w:p w:rsidR="00732AD5" w:rsidP="796C937F" w:rsidRDefault="00732AD5" w14:paraId="6E522CC6" w14:textId="77461A00">
            <w:pPr>
              <w:pStyle w:val="Textoindependiente"/>
              <w:numPr>
                <w:ilvl w:val="0"/>
                <w:numId w:val="17"/>
              </w:numPr>
              <w:spacing w:after="0" w:line="240" w:lineRule="auto"/>
              <w:ind w:left="342"/>
              <w:jc w:val="both"/>
              <w:rPr>
                <w:rFonts w:ascii="Arial" w:hAnsi="Arial" w:cs="Arial"/>
                <w:b w:val="1"/>
                <w:bCs w:val="1"/>
                <w:sz w:val="20"/>
                <w:szCs w:val="20"/>
              </w:rPr>
            </w:pPr>
            <w:r w:rsidRPr="796C937F" w:rsidR="3421DC59">
              <w:rPr>
                <w:rFonts w:ascii="Arial" w:hAnsi="Arial" w:cs="Arial"/>
                <w:b w:val="1"/>
                <w:bCs w:val="1"/>
                <w:sz w:val="20"/>
                <w:szCs w:val="20"/>
              </w:rPr>
              <w:t>Ley 1149 de 2007</w:t>
            </w:r>
            <w:r w:rsidRPr="796C937F" w:rsidR="54612700">
              <w:rPr>
                <w:rFonts w:ascii="Arial" w:hAnsi="Arial" w:cs="Arial"/>
                <w:b w:val="1"/>
                <w:bCs w:val="1"/>
                <w:sz w:val="20"/>
                <w:szCs w:val="20"/>
              </w:rPr>
              <w:t xml:space="preserve"> (julio 13)</w:t>
            </w:r>
          </w:p>
          <w:p w:rsidRPr="00732AD5" w:rsidR="00EE2471" w:rsidP="00732AD5" w:rsidRDefault="00732AD5" w14:paraId="3A3C49FA" w14:textId="0C99783A">
            <w:pPr>
              <w:pStyle w:val="Textoindependiente"/>
              <w:spacing w:after="0" w:line="240" w:lineRule="auto"/>
              <w:ind w:left="342"/>
              <w:jc w:val="both"/>
              <w:rPr>
                <w:rFonts w:ascii="Arial" w:hAnsi="Arial" w:cs="Arial"/>
                <w:bCs/>
                <w:sz w:val="20"/>
                <w:szCs w:val="20"/>
              </w:rPr>
            </w:pPr>
            <w:r w:rsidRPr="00732AD5">
              <w:rPr>
                <w:rFonts w:ascii="Arial" w:hAnsi="Arial" w:cs="Arial"/>
                <w:bCs/>
                <w:sz w:val="20"/>
                <w:szCs w:val="20"/>
              </w:rPr>
              <w:t xml:space="preserve">Establece </w:t>
            </w:r>
            <w:r w:rsidRPr="00732AD5" w:rsidR="00C34F7D">
              <w:rPr>
                <w:rFonts w:ascii="Arial" w:hAnsi="Arial" w:cs="Arial"/>
                <w:bCs/>
                <w:sz w:val="20"/>
                <w:szCs w:val="20"/>
              </w:rPr>
              <w:t>que,</w:t>
            </w:r>
            <w:r w:rsidRPr="00732AD5">
              <w:rPr>
                <w:rFonts w:ascii="Arial" w:hAnsi="Arial" w:cs="Arial"/>
                <w:bCs/>
                <w:sz w:val="20"/>
                <w:szCs w:val="20"/>
              </w:rPr>
              <w:t xml:space="preserve"> en la audiencia de trámite y juzgamiento en primera instancia, el juez practicará las pruebas, dirigirá las interpelaciones o interrogaciones de las partes y oirá las alegaciones de estas. </w:t>
            </w:r>
          </w:p>
          <w:p w:rsidRPr="00732AD5" w:rsidR="00732AD5" w:rsidP="00732AD5" w:rsidRDefault="00732AD5" w14:paraId="6ACAA14D" w14:textId="77777777">
            <w:pPr>
              <w:pStyle w:val="Textoindependiente"/>
              <w:spacing w:after="0" w:line="240" w:lineRule="auto"/>
              <w:ind w:left="342"/>
              <w:jc w:val="both"/>
              <w:rPr>
                <w:rFonts w:ascii="Arial" w:hAnsi="Arial" w:cs="Arial"/>
                <w:b/>
                <w:sz w:val="20"/>
                <w:szCs w:val="20"/>
              </w:rPr>
            </w:pPr>
          </w:p>
          <w:p w:rsidR="00732AD5" w:rsidP="00732AD5" w:rsidRDefault="00732AD5" w14:paraId="00A9D55C" w14:textId="77777777">
            <w:pPr>
              <w:pStyle w:val="Textoindependiente"/>
              <w:numPr>
                <w:ilvl w:val="0"/>
                <w:numId w:val="17"/>
              </w:numPr>
              <w:spacing w:after="0" w:line="240" w:lineRule="auto"/>
              <w:ind w:left="342"/>
              <w:jc w:val="both"/>
              <w:rPr>
                <w:rFonts w:ascii="Arial" w:hAnsi="Arial" w:cs="Arial"/>
                <w:b/>
                <w:sz w:val="20"/>
                <w:szCs w:val="20"/>
              </w:rPr>
            </w:pPr>
            <w:r w:rsidRPr="00732AD5">
              <w:rPr>
                <w:rFonts w:ascii="Arial" w:hAnsi="Arial" w:cs="Arial"/>
                <w:b/>
                <w:sz w:val="20"/>
                <w:szCs w:val="20"/>
              </w:rPr>
              <w:t>Ley 1564 de 2012 (julio 01)</w:t>
            </w:r>
          </w:p>
          <w:p w:rsidR="00EE2471" w:rsidP="00732AD5" w:rsidRDefault="00732AD5" w14:paraId="063C542D" w14:textId="77777777">
            <w:pPr>
              <w:pStyle w:val="Textoindependiente"/>
              <w:spacing w:after="0" w:line="240" w:lineRule="auto"/>
              <w:ind w:left="342"/>
              <w:jc w:val="both"/>
              <w:rPr>
                <w:rFonts w:ascii="Arial" w:hAnsi="Arial" w:cs="Arial"/>
                <w:bCs/>
                <w:sz w:val="20"/>
                <w:szCs w:val="20"/>
              </w:rPr>
            </w:pPr>
            <w:r w:rsidRPr="00C34F7D">
              <w:rPr>
                <w:rFonts w:ascii="Arial" w:hAnsi="Arial" w:cs="Arial"/>
                <w:bCs/>
                <w:sz w:val="20"/>
                <w:szCs w:val="20"/>
              </w:rPr>
              <w:t>Se expide el Código General del Proceso.</w:t>
            </w:r>
          </w:p>
          <w:p w:rsidRPr="00C34F7D" w:rsidR="00C34F7D" w:rsidP="00732AD5" w:rsidRDefault="00C34F7D" w14:paraId="12506997" w14:textId="310ACBE1">
            <w:pPr>
              <w:pStyle w:val="Textoindependiente"/>
              <w:spacing w:after="0" w:line="240" w:lineRule="auto"/>
              <w:ind w:left="342"/>
              <w:jc w:val="both"/>
              <w:rPr>
                <w:rFonts w:ascii="Arial" w:hAnsi="Arial" w:cs="Arial"/>
                <w:bCs/>
                <w:sz w:val="20"/>
                <w:szCs w:val="20"/>
              </w:rPr>
            </w:pPr>
          </w:p>
        </w:tc>
      </w:tr>
      <w:tr w:rsidRPr="00492F29" w:rsidR="007E164F" w:rsidTr="796C937F" w14:paraId="45173694" w14:textId="77777777">
        <w:trPr>
          <w:trHeight w:val="1868"/>
        </w:trPr>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Pr="00492F29" w:rsidR="007E164F" w:rsidP="00EB7BB1" w:rsidRDefault="007E164F" w14:paraId="4C929217" w14:textId="77777777">
            <w:pPr>
              <w:spacing w:after="0" w:line="240" w:lineRule="auto"/>
              <w:jc w:val="both"/>
              <w:rPr>
                <w:rFonts w:ascii="Arial" w:hAnsi="Arial" w:cs="Arial"/>
                <w:b/>
                <w:bCs/>
                <w:sz w:val="20"/>
                <w:szCs w:val="20"/>
              </w:rPr>
            </w:pPr>
            <w:r w:rsidRPr="00492F29">
              <w:rPr>
                <w:rFonts w:ascii="Arial" w:hAnsi="Arial" w:eastAsia="Times New Roman" w:cs="Arial"/>
                <w:b/>
                <w:bCs/>
                <w:sz w:val="20"/>
                <w:szCs w:val="20"/>
              </w:rPr>
              <w:lastRenderedPageBreak/>
              <w:t>3.2 Legislación Específica</w:t>
            </w:r>
          </w:p>
        </w:tc>
        <w:tc>
          <w:tcPr>
            <w:tcW w:w="609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C34F7D" w:rsidP="00C34F7D" w:rsidRDefault="00C34F7D" w14:paraId="568DD048" w14:textId="5AD930CD">
            <w:pPr>
              <w:pStyle w:val="Textoindependiente"/>
              <w:numPr>
                <w:ilvl w:val="0"/>
                <w:numId w:val="17"/>
              </w:numPr>
              <w:spacing w:after="0" w:line="240" w:lineRule="auto"/>
              <w:ind w:left="342"/>
              <w:jc w:val="both"/>
              <w:rPr>
                <w:rFonts w:ascii="Arial" w:hAnsi="Arial" w:eastAsia="Times New Roman" w:cs="Arial"/>
                <w:b w:val="1"/>
                <w:bCs w:val="1"/>
                <w:sz w:val="20"/>
                <w:szCs w:val="20"/>
                <w:lang w:eastAsia="es-CO"/>
              </w:rPr>
            </w:pPr>
            <w:r w:rsidRPr="796C937F" w:rsidR="2C815D30">
              <w:rPr>
                <w:rFonts w:ascii="Arial" w:hAnsi="Arial" w:eastAsia="Times New Roman" w:cs="Arial"/>
                <w:b w:val="1"/>
                <w:bCs w:val="1"/>
                <w:sz w:val="20"/>
                <w:szCs w:val="20"/>
                <w:lang w:eastAsia="es-CO"/>
              </w:rPr>
              <w:t>Código Procesal del Trabajo y de la Seguridad Social</w:t>
            </w:r>
            <w:r w:rsidRPr="796C937F" w:rsidR="6A735985">
              <w:rPr>
                <w:rFonts w:ascii="Arial" w:hAnsi="Arial" w:eastAsia="Times New Roman" w:cs="Arial"/>
                <w:b w:val="1"/>
                <w:bCs w:val="1"/>
                <w:sz w:val="20"/>
                <w:szCs w:val="20"/>
                <w:lang w:eastAsia="es-CO"/>
              </w:rPr>
              <w:t xml:space="preserve"> (junio 24)</w:t>
            </w:r>
          </w:p>
          <w:p w:rsidR="2C815D30" w:rsidP="796C937F" w:rsidRDefault="2C815D30" w14:paraId="58811EE3" w14:textId="53B1A17A">
            <w:pPr>
              <w:pStyle w:val="Textoindependiente"/>
              <w:suppressLineNumbers w:val="0"/>
              <w:bidi w:val="0"/>
              <w:spacing w:before="0" w:beforeAutospacing="off" w:after="0" w:afterAutospacing="off" w:line="240" w:lineRule="auto"/>
              <w:ind w:left="342" w:right="0"/>
              <w:jc w:val="both"/>
              <w:rPr>
                <w:rFonts w:ascii="Arial" w:hAnsi="Arial" w:eastAsia="Times New Roman" w:cs="Arial"/>
                <w:sz w:val="20"/>
                <w:szCs w:val="20"/>
                <w:lang w:eastAsia="es-CO"/>
              </w:rPr>
            </w:pPr>
            <w:r w:rsidRPr="796C937F" w:rsidR="2C815D30">
              <w:rPr>
                <w:rFonts w:ascii="Arial" w:hAnsi="Arial" w:eastAsia="Times New Roman" w:cs="Arial"/>
                <w:sz w:val="20"/>
                <w:szCs w:val="20"/>
                <w:lang w:eastAsia="es-CO"/>
              </w:rPr>
              <w:t>Establece que las acciones contenciosas contra la administración pública solo pueden iniciarse después de agotar la reclamación administrativa. También establece que se debe realizar una audiencia obligatoria de conciliación, de decisión de excepciones previas, de saneamiento y fijación del litigio.</w:t>
            </w:r>
          </w:p>
          <w:p w:rsidRPr="00C34F7D" w:rsidR="009B57B2" w:rsidP="00C34F7D" w:rsidRDefault="00C34F7D" w14:paraId="2DBBCE4A" w14:textId="197C4DC6">
            <w:pPr>
              <w:pStyle w:val="Textoindependiente"/>
              <w:spacing w:after="0" w:line="240" w:lineRule="auto"/>
              <w:ind w:left="342"/>
              <w:jc w:val="both"/>
              <w:rPr>
                <w:rFonts w:ascii="Arial" w:hAnsi="Arial" w:eastAsia="Times New Roman" w:cs="Arial"/>
                <w:sz w:val="20"/>
                <w:szCs w:val="20"/>
                <w:lang w:eastAsia="es-CO"/>
              </w:rPr>
            </w:pPr>
            <w:r w:rsidRPr="00C34F7D">
              <w:rPr>
                <w:rFonts w:ascii="Arial" w:hAnsi="Arial" w:eastAsia="Times New Roman" w:cs="Arial"/>
                <w:sz w:val="20"/>
                <w:szCs w:val="20"/>
                <w:lang w:eastAsia="es-CO"/>
              </w:rPr>
              <w:t xml:space="preserve"> </w:t>
            </w:r>
          </w:p>
          <w:p w:rsidR="00C34F7D" w:rsidP="00C34F7D" w:rsidRDefault="00C34F7D" w14:paraId="71C5CFB5" w14:textId="2D1CEF1D">
            <w:pPr>
              <w:pStyle w:val="Textoindependiente"/>
              <w:numPr>
                <w:ilvl w:val="0"/>
                <w:numId w:val="17"/>
              </w:numPr>
              <w:spacing w:after="0" w:line="240" w:lineRule="auto"/>
              <w:ind w:left="342"/>
              <w:jc w:val="both"/>
              <w:rPr>
                <w:rFonts w:ascii="Arial" w:hAnsi="Arial" w:eastAsia="Times New Roman" w:cs="Arial"/>
                <w:b w:val="1"/>
                <w:bCs w:val="1"/>
                <w:sz w:val="20"/>
                <w:szCs w:val="20"/>
                <w:lang w:eastAsia="es-CO"/>
              </w:rPr>
            </w:pPr>
            <w:r w:rsidRPr="796C937F" w:rsidR="2C815D30">
              <w:rPr>
                <w:rFonts w:ascii="Arial" w:hAnsi="Arial" w:eastAsia="Times New Roman" w:cs="Arial"/>
                <w:b w:val="1"/>
                <w:bCs w:val="1"/>
                <w:sz w:val="20"/>
                <w:szCs w:val="20"/>
                <w:lang w:eastAsia="es-CO"/>
              </w:rPr>
              <w:t>Decreto 2723 de 2014</w:t>
            </w:r>
            <w:r w:rsidRPr="796C937F" w:rsidR="5039B913">
              <w:rPr>
                <w:rFonts w:ascii="Arial" w:hAnsi="Arial" w:eastAsia="Times New Roman" w:cs="Arial"/>
                <w:b w:val="1"/>
                <w:bCs w:val="1"/>
                <w:sz w:val="20"/>
                <w:szCs w:val="20"/>
                <w:lang w:eastAsia="es-CO"/>
              </w:rPr>
              <w:t xml:space="preserve"> (diciembre 29)</w:t>
            </w:r>
          </w:p>
          <w:p w:rsidRPr="00C34F7D" w:rsidR="009B57B2" w:rsidP="796C937F" w:rsidRDefault="00C34F7D" w14:paraId="582CADDF" w14:textId="473CA206">
            <w:pPr>
              <w:pStyle w:val="Textoindependiente"/>
              <w:spacing w:after="0" w:line="240" w:lineRule="auto"/>
              <w:ind w:left="342"/>
              <w:jc w:val="both"/>
              <w:rPr>
                <w:noProof w:val="0"/>
                <w:lang w:val="es-CO"/>
              </w:rPr>
            </w:pPr>
            <w:r w:rsidRPr="796C937F" w:rsidR="65716562">
              <w:rPr>
                <w:rFonts w:ascii="Arial" w:hAnsi="Arial" w:eastAsia="Arial" w:cs="Arial"/>
                <w:b w:val="0"/>
                <w:bCs w:val="0"/>
                <w:i w:val="0"/>
                <w:iCs w:val="0"/>
                <w:caps w:val="0"/>
                <w:smallCaps w:val="0"/>
                <w:noProof w:val="0"/>
                <w:color w:val="000000" w:themeColor="text1" w:themeTint="FF" w:themeShade="FF"/>
                <w:sz w:val="20"/>
                <w:szCs w:val="20"/>
                <w:lang w:val="es-CO"/>
              </w:rPr>
              <w:t>Establece las funciones de la Oficina Asesora Jurídica</w:t>
            </w:r>
            <w:r w:rsidRPr="796C937F" w:rsidR="65716562">
              <w:rPr>
                <w:rFonts w:ascii="Calibri" w:hAnsi="Calibri" w:eastAsia="Calibri" w:cs="Calibri"/>
                <w:b w:val="0"/>
                <w:bCs w:val="0"/>
                <w:i w:val="0"/>
                <w:iCs w:val="0"/>
                <w:caps w:val="0"/>
                <w:smallCaps w:val="0"/>
                <w:noProof w:val="0"/>
                <w:color w:val="000000" w:themeColor="text1" w:themeTint="FF" w:themeShade="FF"/>
                <w:sz w:val="22"/>
                <w:szCs w:val="22"/>
                <w:lang w:val="es-CO"/>
              </w:rPr>
              <w:t>, cuya</w:t>
            </w:r>
            <w:r w:rsidRPr="796C937F" w:rsidR="65716562">
              <w:rPr>
                <w:rFonts w:ascii="Arial" w:hAnsi="Arial" w:eastAsia="Arial" w:cs="Arial"/>
                <w:b w:val="0"/>
                <w:bCs w:val="0"/>
                <w:i w:val="0"/>
                <w:iCs w:val="0"/>
                <w:caps w:val="0"/>
                <w:smallCaps w:val="0"/>
                <w:noProof w:val="0"/>
                <w:color w:val="000000" w:themeColor="text1" w:themeTint="FF" w:themeShade="FF"/>
                <w:sz w:val="20"/>
                <w:szCs w:val="20"/>
                <w:lang w:val="es-CO"/>
              </w:rPr>
              <w:t xml:space="preserve"> función principal es brindar asesoría legal a la Superintendencia en todos los asuntos de su competencia. Esto incluye la elaboración de conceptos jurídicos, la revisión de proyectos normativos y la representación de la entidad en procesos judiciales.</w:t>
            </w: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796C937F" w14:paraId="3C15334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796C937F" w14:paraId="24F051B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1875A1" w:rsidP="796C937F" w:rsidRDefault="00F200D3" w14:paraId="18D00DA3" w14:textId="40BAE84D">
            <w:pPr>
              <w:snapToGrid w:val="0"/>
              <w:spacing w:after="0" w:line="240" w:lineRule="auto"/>
              <w:jc w:val="both"/>
              <w:rPr>
                <w:rFonts w:ascii="Arial" w:hAnsi="Arial" w:cs="Arial"/>
                <w:sz w:val="20"/>
                <w:szCs w:val="20"/>
              </w:rPr>
            </w:pPr>
            <w:r w:rsidRPr="796C937F" w:rsidR="646E1162">
              <w:rPr>
                <w:rFonts w:ascii="Arial" w:hAnsi="Arial" w:cs="Arial"/>
                <w:sz w:val="20"/>
                <w:szCs w:val="20"/>
              </w:rPr>
              <w:t xml:space="preserve">Subserie que evidencia el cumplimiento de las funciones dadas a la Oficina Asesora Jurídica en cuanto a la representación judicial de la Superintendencia de Notariado y Registro de acuerdo </w:t>
            </w:r>
            <w:r w:rsidRPr="796C937F" w:rsidR="72891861">
              <w:rPr>
                <w:rFonts w:ascii="Arial" w:hAnsi="Arial" w:cs="Arial"/>
                <w:sz w:val="20"/>
                <w:szCs w:val="20"/>
              </w:rPr>
              <w:t>con</w:t>
            </w:r>
            <w:r w:rsidRPr="796C937F" w:rsidR="646E1162">
              <w:rPr>
                <w:rFonts w:ascii="Arial" w:hAnsi="Arial" w:cs="Arial"/>
                <w:sz w:val="20"/>
                <w:szCs w:val="20"/>
              </w:rPr>
              <w:t xml:space="preserve"> los poderes que le fueron otorgados para el efecto mediante el Decreto 2723 de 2014.</w:t>
            </w:r>
            <w:r w:rsidRPr="796C937F" w:rsidR="646E1162">
              <w:rPr>
                <w:rFonts w:ascii="Arial" w:hAnsi="Arial" w:cs="Arial"/>
                <w:sz w:val="20"/>
                <w:szCs w:val="20"/>
              </w:rPr>
              <w:t xml:space="preserve"> </w:t>
            </w:r>
            <w:r w:rsidRPr="796C937F" w:rsidR="646E1162">
              <w:rPr>
                <w:rFonts w:ascii="Arial" w:hAnsi="Arial" w:cs="Arial"/>
                <w:sz w:val="20"/>
                <w:szCs w:val="20"/>
              </w:rPr>
              <w:t xml:space="preserve">El valor administrativo es un elemento fundamental en el proceso </w:t>
            </w:r>
            <w:r w:rsidRPr="796C937F" w:rsidR="61A5DDD1">
              <w:rPr>
                <w:rFonts w:ascii="Arial" w:hAnsi="Arial" w:cs="Arial"/>
                <w:sz w:val="20"/>
                <w:szCs w:val="20"/>
              </w:rPr>
              <w:t>laboral</w:t>
            </w:r>
            <w:r w:rsidRPr="796C937F" w:rsidR="646E1162">
              <w:rPr>
                <w:rFonts w:ascii="Arial" w:hAnsi="Arial" w:cs="Arial"/>
                <w:sz w:val="20"/>
                <w:szCs w:val="20"/>
              </w:rPr>
              <w:t>, ya que tiene diversas implicaciones prácticas</w:t>
            </w:r>
            <w:r w:rsidRPr="796C937F" w:rsidR="646E1162">
              <w:rPr>
                <w:rFonts w:ascii="Arial" w:hAnsi="Arial" w:cs="Arial"/>
                <w:sz w:val="20"/>
                <w:szCs w:val="20"/>
              </w:rPr>
              <w:t xml:space="preserve"> como el a</w:t>
            </w:r>
            <w:r w:rsidRPr="796C937F" w:rsidR="646E1162">
              <w:rPr>
                <w:rFonts w:ascii="Arial" w:hAnsi="Arial" w:cs="Arial"/>
                <w:sz w:val="20"/>
                <w:szCs w:val="20"/>
              </w:rPr>
              <w:t>cceso a la justicia</w:t>
            </w:r>
            <w:r w:rsidRPr="796C937F" w:rsidR="646E1162">
              <w:rPr>
                <w:rFonts w:ascii="Arial" w:hAnsi="Arial" w:cs="Arial"/>
                <w:sz w:val="20"/>
                <w:szCs w:val="20"/>
              </w:rPr>
              <w:t>, la ca</w:t>
            </w:r>
            <w:r w:rsidRPr="796C937F" w:rsidR="646E1162">
              <w:rPr>
                <w:rFonts w:ascii="Arial" w:hAnsi="Arial" w:cs="Arial"/>
                <w:sz w:val="20"/>
                <w:szCs w:val="20"/>
              </w:rPr>
              <w:t>rga procesal</w:t>
            </w:r>
            <w:r w:rsidRPr="796C937F" w:rsidR="646E1162">
              <w:rPr>
                <w:rFonts w:ascii="Arial" w:hAnsi="Arial" w:cs="Arial"/>
                <w:sz w:val="20"/>
                <w:szCs w:val="20"/>
              </w:rPr>
              <w:t xml:space="preserve"> y la e</w:t>
            </w:r>
            <w:r w:rsidRPr="796C937F" w:rsidR="646E1162">
              <w:rPr>
                <w:rFonts w:ascii="Arial" w:hAnsi="Arial" w:cs="Arial"/>
                <w:sz w:val="20"/>
                <w:szCs w:val="20"/>
              </w:rPr>
              <w:t>fectividad del sistema judicial</w:t>
            </w:r>
            <w:r w:rsidRPr="796C937F" w:rsidR="646E1162">
              <w:rPr>
                <w:rFonts w:ascii="Arial" w:hAnsi="Arial" w:cs="Arial"/>
                <w:sz w:val="20"/>
                <w:szCs w:val="20"/>
              </w:rPr>
              <w:t>.</w:t>
            </w:r>
          </w:p>
          <w:p w:rsidR="007B1832" w:rsidP="00F200D3" w:rsidRDefault="007B1832" w14:paraId="4FD84F12" w14:textId="77777777">
            <w:pPr>
              <w:snapToGrid w:val="0"/>
              <w:spacing w:after="0" w:line="240" w:lineRule="auto"/>
              <w:jc w:val="both"/>
              <w:rPr>
                <w:rFonts w:ascii="Arial" w:hAnsi="Arial" w:cs="Arial"/>
                <w:bCs/>
                <w:sz w:val="20"/>
                <w:szCs w:val="20"/>
              </w:rPr>
            </w:pPr>
          </w:p>
          <w:p w:rsidRPr="003059C3" w:rsidR="007B1832" w:rsidP="00F200D3" w:rsidRDefault="007B1832" w14:paraId="537CAB75" w14:textId="479BAD13">
            <w:pPr>
              <w:snapToGrid w:val="0"/>
              <w:spacing w:after="0" w:line="240" w:lineRule="auto"/>
              <w:jc w:val="both"/>
              <w:rPr>
                <w:rFonts w:ascii="Arial" w:hAnsi="Arial" w:cs="Arial"/>
                <w:bCs/>
                <w:sz w:val="20"/>
                <w:szCs w:val="20"/>
              </w:rPr>
            </w:pPr>
            <w:r w:rsidRPr="007B1832">
              <w:rPr>
                <w:rFonts w:ascii="Arial" w:hAnsi="Arial" w:cs="Arial"/>
                <w:bCs/>
                <w:sz w:val="20"/>
                <w:szCs w:val="20"/>
              </w:rPr>
              <w:t xml:space="preserve">Las entidades que tramiten procesos a través de expediente electrónico trabajarán coordinadamente para la optimización de estos, su interoperabilidad y el cumplimiento de estándares homogéneos de gestión documental de conformidad con el Código de Procedimiento Administrativo y de lo Contencioso </w:t>
            </w:r>
            <w:r w:rsidRPr="007B1832">
              <w:rPr>
                <w:rFonts w:ascii="Arial" w:hAnsi="Arial" w:cs="Arial"/>
                <w:bCs/>
                <w:sz w:val="20"/>
                <w:szCs w:val="20"/>
              </w:rPr>
              <w:lastRenderedPageBreak/>
              <w:t>Administrativo (Ley 2080 de 2021, artículo 59, sobre el expediente electrónico).</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039A5" w14:paraId="70CA88D5" w14:textId="7C50D70F">
            <w:pPr>
              <w:snapToGrid w:val="0"/>
              <w:spacing w:after="0" w:line="240" w:lineRule="auto"/>
              <w:jc w:val="center"/>
            </w:pPr>
            <w:r>
              <w:lastRenderedPageBreak/>
              <w:t>2</w:t>
            </w:r>
            <w:r w:rsidR="007E164F">
              <w:t xml:space="preserve"> años</w:t>
            </w:r>
          </w:p>
        </w:tc>
      </w:tr>
      <w:tr w:rsidR="007E164F" w:rsidTr="796C937F" w14:paraId="2FE7487E"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327B702F" w14:textId="77777777">
            <w:pPr>
              <w:spacing w:after="0" w:line="240" w:lineRule="auto"/>
              <w:jc w:val="both"/>
              <w:rPr>
                <w:rFonts w:ascii="Arial" w:hAnsi="Arial" w:cs="Arial"/>
                <w:lang w:eastAsia="es-CO"/>
              </w:rPr>
            </w:pPr>
            <w:r>
              <w:rPr>
                <w:rFonts w:ascii="Arial" w:hAnsi="Arial" w:eastAsia="Times New Roman" w:cs="Arial"/>
                <w:b/>
                <w:bCs/>
              </w:rPr>
              <w:t>4.1.2 Valor legal y o jurídico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60F35D02" w:rsidP="796C937F" w:rsidRDefault="60F35D02" w14:paraId="0EC541A7" w14:textId="15151645">
            <w:pPr>
              <w:spacing w:after="0" w:line="240" w:lineRule="auto"/>
              <w:jc w:val="both"/>
              <w:rPr>
                <w:rFonts w:ascii="Arial" w:hAnsi="Arial" w:cs="Arial"/>
                <w:sz w:val="20"/>
                <w:szCs w:val="20"/>
              </w:rPr>
            </w:pPr>
            <w:r w:rsidRPr="796C937F" w:rsidR="60F35D02">
              <w:rPr>
                <w:rFonts w:ascii="Arial" w:hAnsi="Arial" w:cs="Arial"/>
                <w:sz w:val="20"/>
                <w:szCs w:val="20"/>
              </w:rPr>
              <w:t>Subserie documental que reviste una gran importancia jurídica y legal, con capacidad para generar efectos jurídicos concretos y vinculantes. Estos procedimientos, diseñados para dirimir las controversias surgidas de la relación laboral, garantizan el cumplimiento de los derechos de los trabajadores y contribuyen a mantener un equilibrio justo en las relaciones laborales.</w:t>
            </w:r>
          </w:p>
          <w:p w:rsidR="007B1832" w:rsidP="00EB7BB1" w:rsidRDefault="007B1832" w14:paraId="696CAB80" w14:textId="77777777">
            <w:pPr>
              <w:spacing w:after="0" w:line="240" w:lineRule="auto"/>
              <w:jc w:val="both"/>
              <w:rPr>
                <w:rFonts w:ascii="Arial" w:hAnsi="Arial" w:cs="Arial"/>
                <w:sz w:val="20"/>
                <w:szCs w:val="25"/>
                <w:shd w:val="clear" w:color="auto" w:fill="FFFFFF"/>
              </w:rPr>
            </w:pPr>
          </w:p>
          <w:p w:rsidRPr="00C8246C" w:rsidR="007E164F" w:rsidP="00EB7BB1" w:rsidRDefault="007B1832" w14:paraId="3607AFFD" w14:textId="664A5C80">
            <w:pPr>
              <w:spacing w:after="0" w:line="240" w:lineRule="auto"/>
              <w:jc w:val="both"/>
              <w:rPr>
                <w:rFonts w:ascii="Arial" w:hAnsi="Arial" w:cs="Arial"/>
                <w:sz w:val="20"/>
                <w:szCs w:val="25"/>
                <w:shd w:val="clear" w:color="auto" w:fill="FFFFFF"/>
              </w:rPr>
            </w:pPr>
            <w:r w:rsidRPr="007B1832">
              <w:rPr>
                <w:rFonts w:ascii="Arial" w:hAnsi="Arial" w:cs="Arial"/>
                <w:bCs/>
                <w:sz w:val="20"/>
                <w:szCs w:val="20"/>
              </w:rPr>
              <w:t>De los traslados que hayan sido fijados electrónicamente se conservará un archivo disponible para la consulta permanente en línea por cualquier interesado, por el término mínimo de diez (10) años de conformidad con el Código de Procedimiento Administrativo y de lo Contencioso Administrativo (Ley 2080 de 2021, artículo 201A, sobre el expediente electrónico)</w:t>
            </w:r>
            <w:r w:rsidR="00892C25">
              <w:rPr>
                <w:rFonts w:ascii="Arial" w:hAnsi="Arial" w:cs="Arial"/>
                <w:bCs/>
                <w:sz w:val="20"/>
                <w:szCs w:val="20"/>
              </w:rPr>
              <w:t xml:space="preserve"> y el </w:t>
            </w:r>
            <w:r w:rsidRPr="00892C25" w:rsidR="00892C25">
              <w:rPr>
                <w:rFonts w:ascii="Arial" w:hAnsi="Arial" w:cs="Arial"/>
                <w:sz w:val="20"/>
                <w:szCs w:val="25"/>
                <w:shd w:val="clear" w:color="auto" w:fill="FFFFFF"/>
              </w:rPr>
              <w:t>artículo 52, ley 1437 de 2011.</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039A5" w14:paraId="5FF75E3E" w14:textId="6776DC3E">
            <w:pPr>
              <w:snapToGrid w:val="0"/>
              <w:spacing w:after="0" w:line="240" w:lineRule="auto"/>
              <w:jc w:val="both"/>
            </w:pPr>
            <w:r>
              <w:t>5</w:t>
            </w:r>
            <w:r w:rsidR="007E164F">
              <w:t xml:space="preserve"> años</w:t>
            </w:r>
          </w:p>
        </w:tc>
      </w:tr>
      <w:tr w:rsidR="007E164F" w:rsidTr="796C937F" w14:paraId="577E676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891461" w:rsidP="00891461" w:rsidRDefault="00891461" w14:paraId="0C64D372" w14:textId="77777777">
            <w:pPr>
              <w:snapToGrid w:val="0"/>
              <w:spacing w:after="0" w:line="240" w:lineRule="auto"/>
              <w:jc w:val="both"/>
              <w:rPr>
                <w:rFonts w:ascii="Arial" w:hAnsi="Arial" w:cs="Arial"/>
                <w:bCs/>
                <w:sz w:val="20"/>
                <w:szCs w:val="20"/>
              </w:rPr>
            </w:pPr>
            <w:r w:rsidRPr="00891461">
              <w:rPr>
                <w:rFonts w:ascii="Arial" w:hAnsi="Arial" w:cs="Arial"/>
                <w:bCs/>
                <w:sz w:val="20"/>
                <w:szCs w:val="20"/>
              </w:rPr>
              <w:t xml:space="preserve">En aquellos casos en los que se deba tramitar el pago de sentencias, conciliaciones y/o laudos arbitrales en contra de la Superintendencia de Notariado y Registro a través de la verificación de la documentación aportada por los beneficiarios o sus apoderados, dando aplicación a lo establecido en la Ley con el fin de garantizar el adecuado manejo de los recursos públicos. </w:t>
            </w:r>
          </w:p>
          <w:p w:rsidR="00891461" w:rsidP="00891461" w:rsidRDefault="00891461" w14:paraId="79F7601B" w14:textId="77777777">
            <w:pPr>
              <w:snapToGrid w:val="0"/>
              <w:spacing w:after="0" w:line="240" w:lineRule="auto"/>
              <w:jc w:val="both"/>
              <w:rPr>
                <w:rFonts w:ascii="Arial" w:hAnsi="Arial" w:cs="Arial"/>
                <w:bCs/>
                <w:sz w:val="20"/>
                <w:szCs w:val="20"/>
              </w:rPr>
            </w:pPr>
          </w:p>
          <w:p w:rsidRPr="00891461" w:rsidR="00891461" w:rsidP="00891461" w:rsidRDefault="00891461" w14:paraId="0DFD7E94" w14:textId="131078CF">
            <w:pPr>
              <w:snapToGrid w:val="0"/>
              <w:spacing w:after="0" w:line="240" w:lineRule="auto"/>
              <w:jc w:val="both"/>
              <w:rPr>
                <w:rFonts w:ascii="Arial" w:hAnsi="Arial" w:cs="Arial"/>
                <w:bCs/>
                <w:sz w:val="20"/>
                <w:szCs w:val="20"/>
              </w:rPr>
            </w:pPr>
            <w:r w:rsidRPr="00891461">
              <w:rPr>
                <w:rFonts w:ascii="Arial" w:hAnsi="Arial" w:cs="Arial"/>
                <w:bCs/>
                <w:sz w:val="20"/>
                <w:szCs w:val="20"/>
              </w:rPr>
              <w:t xml:space="preserve">En asuntos de carácter laboral, cuando se condene al reintegro, si dentro del término de tres (3) meses siguientes a la ejecutoria de la providencia que así lo disponga, este no pudiere llevarse a cabo por causas imputables al interesado, en adelante cesará la </w:t>
            </w:r>
            <w:proofErr w:type="spellStart"/>
            <w:r w:rsidRPr="00891461">
              <w:rPr>
                <w:rFonts w:ascii="Arial" w:hAnsi="Arial" w:cs="Arial"/>
                <w:bCs/>
                <w:sz w:val="20"/>
                <w:szCs w:val="20"/>
              </w:rPr>
              <w:t>causación</w:t>
            </w:r>
            <w:proofErr w:type="spellEnd"/>
            <w:r w:rsidRPr="00891461">
              <w:rPr>
                <w:rFonts w:ascii="Arial" w:hAnsi="Arial" w:cs="Arial"/>
                <w:bCs/>
                <w:sz w:val="20"/>
                <w:szCs w:val="20"/>
              </w:rPr>
              <w:t xml:space="preserve"> de emolumentos de todo tipo, teniendo en cuenta lo establecido en al Manual de Defensa Judicial del Proceso Administrativo Judicial (MP – GNJA – PO – 03 – PR – 01) y siguiendo el procedimiento Trámite para el pago de sentencias, conciliaciones y/o laudos arbitrales (MP – GNJA – PO – 03 – PR – 01).</w:t>
            </w:r>
          </w:p>
          <w:p w:rsidRPr="00891461" w:rsidR="00891461" w:rsidP="00891461" w:rsidRDefault="00891461" w14:paraId="50EDA2AC" w14:textId="77777777">
            <w:pPr>
              <w:snapToGrid w:val="0"/>
              <w:spacing w:after="0" w:line="240" w:lineRule="auto"/>
              <w:jc w:val="both"/>
              <w:rPr>
                <w:rFonts w:ascii="Arial" w:hAnsi="Arial" w:cs="Arial"/>
                <w:bCs/>
                <w:sz w:val="20"/>
                <w:szCs w:val="20"/>
              </w:rPr>
            </w:pPr>
          </w:p>
          <w:p w:rsidR="007E164F" w:rsidP="00891461" w:rsidRDefault="00891461" w14:paraId="7E4ED32E" w14:textId="77777777">
            <w:pPr>
              <w:snapToGrid w:val="0"/>
              <w:spacing w:after="0" w:line="240" w:lineRule="auto"/>
              <w:jc w:val="both"/>
              <w:rPr>
                <w:rFonts w:ascii="Arial" w:hAnsi="Arial" w:cs="Arial"/>
                <w:bCs/>
                <w:sz w:val="20"/>
                <w:szCs w:val="20"/>
              </w:rPr>
            </w:pPr>
            <w:r w:rsidRPr="00891461">
              <w:rPr>
                <w:rFonts w:ascii="Arial" w:hAnsi="Arial" w:cs="Arial"/>
                <w:bCs/>
                <w:sz w:val="20"/>
                <w:szCs w:val="20"/>
              </w:rPr>
              <w:t>Pretensiones periódicas laborales: El apoderado del proceso debe tasar el valor de los dineros adeudados tomando como referencia, para el inicio del cálculo, la fecha indicada por el demandante y, como fecha final, la fecha estimada de pago.</w:t>
            </w:r>
          </w:p>
          <w:p w:rsidR="00891461" w:rsidP="00891461" w:rsidRDefault="00891461" w14:paraId="3BD741A1" w14:textId="222EF3E1">
            <w:pPr>
              <w:snapToGrid w:val="0"/>
              <w:spacing w:after="0" w:line="240" w:lineRule="auto"/>
              <w:jc w:val="both"/>
              <w:rPr>
                <w:rFonts w:ascii="Arial" w:hAnsi="Arial" w:eastAsia="Times New Roman" w:cs="Arial"/>
                <w:bCs/>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039A5" w14:paraId="4BFD8259" w14:textId="412C2AA8">
            <w:pPr>
              <w:snapToGrid w:val="0"/>
              <w:spacing w:after="0" w:line="240" w:lineRule="auto"/>
              <w:jc w:val="both"/>
              <w:rPr>
                <w:rFonts w:ascii="Arial" w:hAnsi="Arial" w:eastAsia="Times New Roman" w:cs="Arial"/>
                <w:bCs/>
                <w:sz w:val="20"/>
                <w:szCs w:val="20"/>
              </w:rPr>
            </w:pPr>
            <w:r>
              <w:rPr>
                <w:rFonts w:ascii="Arial" w:hAnsi="Arial" w:eastAsia="Times New Roman" w:cs="Arial"/>
                <w:bCs/>
                <w:sz w:val="20"/>
                <w:szCs w:val="20"/>
              </w:rPr>
              <w:t>5 años</w:t>
            </w:r>
          </w:p>
        </w:tc>
      </w:tr>
      <w:tr w:rsidR="007E164F" w:rsidTr="796C937F" w14:paraId="6E1BB75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037F83" w:rsidP="796C937F" w:rsidRDefault="003F32FD" w14:paraId="2E40151A" w14:textId="4FF3D2A8">
            <w:pPr>
              <w:snapToGrid w:val="0"/>
              <w:spacing w:after="0" w:line="240" w:lineRule="auto"/>
              <w:jc w:val="both"/>
              <w:rPr>
                <w:rFonts w:ascii="Arial" w:hAnsi="Arial" w:eastAsia="Times New Roman" w:cs="Arial"/>
                <w:sz w:val="20"/>
                <w:szCs w:val="20"/>
              </w:rPr>
            </w:pPr>
            <w:r w:rsidRPr="796C937F" w:rsidR="1487D60C">
              <w:rPr>
                <w:rFonts w:ascii="Arial" w:hAnsi="Arial" w:eastAsia="Times New Roman" w:cs="Arial"/>
                <w:sz w:val="20"/>
                <w:szCs w:val="20"/>
              </w:rPr>
              <w:t>En el caso colombiano n</w:t>
            </w:r>
            <w:r w:rsidRPr="796C937F" w:rsidR="1487D60C">
              <w:rPr>
                <w:rFonts w:ascii="Arial" w:hAnsi="Arial" w:eastAsia="Times New Roman" w:cs="Arial"/>
                <w:sz w:val="20"/>
                <w:szCs w:val="20"/>
              </w:rPr>
              <w:t xml:space="preserve">o existe una </w:t>
            </w:r>
            <w:r w:rsidRPr="796C937F" w:rsidR="1487D60C">
              <w:rPr>
                <w:rFonts w:ascii="Arial" w:hAnsi="Arial" w:eastAsia="Times New Roman" w:cs="Arial"/>
                <w:sz w:val="20"/>
                <w:szCs w:val="20"/>
              </w:rPr>
              <w:t>carga</w:t>
            </w:r>
            <w:r w:rsidRPr="796C937F" w:rsidR="1487D60C">
              <w:rPr>
                <w:rFonts w:ascii="Arial" w:hAnsi="Arial" w:eastAsia="Times New Roman" w:cs="Arial"/>
                <w:sz w:val="20"/>
                <w:szCs w:val="20"/>
              </w:rPr>
              <w:t xml:space="preserve"> fiscal específica asignada a cada proceso </w:t>
            </w:r>
            <w:r w:rsidRPr="796C937F" w:rsidR="1D295378">
              <w:rPr>
                <w:rFonts w:ascii="Arial" w:hAnsi="Arial" w:eastAsia="Times New Roman" w:cs="Arial"/>
                <w:sz w:val="20"/>
                <w:szCs w:val="20"/>
              </w:rPr>
              <w:t>laboral</w:t>
            </w:r>
            <w:r w:rsidRPr="796C937F" w:rsidR="1487D60C">
              <w:rPr>
                <w:rFonts w:ascii="Arial" w:hAnsi="Arial" w:eastAsia="Times New Roman" w:cs="Arial"/>
                <w:sz w:val="20"/>
                <w:szCs w:val="20"/>
              </w:rPr>
              <w:t xml:space="preserve"> como ocurre con los bienes inmuebles o los vehículos para fines tributarios</w:t>
            </w:r>
            <w:r w:rsidRPr="796C937F" w:rsidR="1487D60C">
              <w:rPr>
                <w:rFonts w:ascii="Arial" w:hAnsi="Arial" w:eastAsia="Times New Roman" w:cs="Arial"/>
                <w:sz w:val="20"/>
                <w:szCs w:val="20"/>
              </w:rPr>
              <w:t>, ya que, e</w:t>
            </w:r>
            <w:r w:rsidRPr="796C937F" w:rsidR="1487D60C">
              <w:rPr>
                <w:rFonts w:ascii="Arial" w:hAnsi="Arial" w:eastAsia="Times New Roman" w:cs="Arial"/>
                <w:sz w:val="20"/>
                <w:szCs w:val="20"/>
              </w:rPr>
              <w:t xml:space="preserve">l objetivo principal de un proceso </w:t>
            </w:r>
            <w:r w:rsidRPr="796C937F" w:rsidR="3AA6EE98">
              <w:rPr>
                <w:rFonts w:ascii="Arial" w:hAnsi="Arial" w:eastAsia="Times New Roman" w:cs="Arial"/>
                <w:sz w:val="20"/>
                <w:szCs w:val="20"/>
              </w:rPr>
              <w:t>laboral</w:t>
            </w:r>
            <w:r w:rsidRPr="796C937F" w:rsidR="1487D60C">
              <w:rPr>
                <w:rFonts w:ascii="Arial" w:hAnsi="Arial" w:eastAsia="Times New Roman" w:cs="Arial"/>
                <w:sz w:val="20"/>
                <w:szCs w:val="20"/>
              </w:rPr>
              <w:t xml:space="preserve"> </w:t>
            </w:r>
            <w:r w:rsidRPr="796C937F" w:rsidR="1487D60C">
              <w:rPr>
                <w:rFonts w:ascii="Arial" w:hAnsi="Arial" w:eastAsia="Times New Roman" w:cs="Arial"/>
                <w:sz w:val="20"/>
                <w:szCs w:val="20"/>
              </w:rPr>
              <w:t>es resolver una controversia y hacer valer un derecho, no generar ingresos para el Estado.</w:t>
            </w:r>
          </w:p>
          <w:p w:rsidRPr="00E80E92" w:rsidR="00891461" w:rsidP="008039A5" w:rsidRDefault="00891461" w14:paraId="1A4F2C8D" w14:textId="310880C0">
            <w:pPr>
              <w:snapToGrid w:val="0"/>
              <w:spacing w:after="0" w:line="240" w:lineRule="auto"/>
              <w:jc w:val="both"/>
              <w:rPr>
                <w:rFonts w:ascii="Arial" w:hAnsi="Arial" w:eastAsia="Times New Roman" w:cs="Arial"/>
                <w:bCs/>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E7F9C" w14:paraId="6A6CE1B4" w14:textId="412509BD">
            <w:pPr>
              <w:snapToGrid w:val="0"/>
              <w:spacing w:after="0" w:line="240" w:lineRule="auto"/>
              <w:rPr>
                <w:rFonts w:ascii="Arial" w:hAnsi="Arial" w:eastAsia="Times New Roman" w:cs="Arial"/>
                <w:bCs/>
                <w:sz w:val="20"/>
                <w:szCs w:val="20"/>
              </w:rPr>
            </w:pPr>
            <w:r>
              <w:rPr>
                <w:rFonts w:ascii="Arial" w:hAnsi="Arial" w:eastAsia="Times New Roman" w:cs="Arial"/>
                <w:bCs/>
                <w:sz w:val="20"/>
                <w:szCs w:val="20"/>
              </w:rPr>
              <w:t>N.A</w:t>
            </w:r>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6B7647A1">
      <w:pPr>
        <w:spacing w:after="0" w:line="240" w:lineRule="auto"/>
        <w:jc w:val="both"/>
        <w:rPr>
          <w:rFonts w:ascii="Arial" w:hAnsi="Arial" w:cs="Arial"/>
          <w:b/>
          <w:lang w:val="es-MX"/>
        </w:rPr>
      </w:pPr>
    </w:p>
    <w:p w:rsidR="00891461" w:rsidP="007E164F" w:rsidRDefault="00891461" w14:paraId="33A6ECBE" w14:textId="25D4F53D">
      <w:pPr>
        <w:spacing w:after="0" w:line="240" w:lineRule="auto"/>
        <w:jc w:val="both"/>
        <w:rPr>
          <w:rFonts w:ascii="Arial" w:hAnsi="Arial" w:cs="Arial"/>
          <w:b/>
          <w:lang w:val="es-MX"/>
        </w:rPr>
      </w:pPr>
    </w:p>
    <w:p w:rsidR="00891461" w:rsidP="007E164F" w:rsidRDefault="00891461" w14:paraId="75D0F22F"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lastRenderedPageBreak/>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00EB7BB1" w14:paraId="022BD11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00EB7BB1" w14:paraId="5C7A43C8"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891461" w:rsidP="003F32FD" w:rsidRDefault="00891461" w14:paraId="2D890083" w14:textId="77777777">
            <w:pPr>
              <w:snapToGrid w:val="0"/>
              <w:spacing w:after="0" w:line="240" w:lineRule="auto"/>
              <w:jc w:val="both"/>
              <w:rPr>
                <w:rFonts w:ascii="Arial" w:hAnsi="Arial" w:cs="Arial"/>
                <w:sz w:val="20"/>
              </w:rPr>
            </w:pPr>
            <w:r w:rsidRPr="00891461">
              <w:rPr>
                <w:rFonts w:ascii="Arial" w:hAnsi="Arial" w:cs="Arial"/>
                <w:sz w:val="20"/>
              </w:rPr>
              <w:t>Esta subserie es evidencia del cumplimiento de las garantía</w:t>
            </w:r>
            <w:r>
              <w:rPr>
                <w:rFonts w:ascii="Arial" w:hAnsi="Arial" w:cs="Arial"/>
                <w:sz w:val="20"/>
              </w:rPr>
              <w:t>s</w:t>
            </w:r>
            <w:r w:rsidRPr="00891461">
              <w:rPr>
                <w:rFonts w:ascii="Arial" w:hAnsi="Arial" w:cs="Arial"/>
                <w:sz w:val="20"/>
              </w:rPr>
              <w:t xml:space="preserve"> del derecho fundamental al trabajo digno, en los que se evidencia la relación laboral histórica que sostiene la Superintendencia con sus funcionarios en calidad de trabajadores del Estado. Mediante esta documentación se puede evidenciar los mecanismo</w:t>
            </w:r>
            <w:r>
              <w:rPr>
                <w:rFonts w:ascii="Arial" w:hAnsi="Arial" w:cs="Arial"/>
                <w:sz w:val="20"/>
              </w:rPr>
              <w:t>s</w:t>
            </w:r>
            <w:r w:rsidRPr="00891461">
              <w:rPr>
                <w:rFonts w:ascii="Arial" w:hAnsi="Arial" w:cs="Arial"/>
                <w:sz w:val="20"/>
              </w:rPr>
              <w:t xml:space="preserve"> a través de los cuáles los trabajadores pueden hacer valer sus derechos fundamentales consagrados en la Constitución y en las leyes laborales.</w:t>
            </w:r>
          </w:p>
          <w:p w:rsidRPr="003F32FD" w:rsidR="00891461" w:rsidP="003F32FD" w:rsidRDefault="00891461" w14:paraId="5B6212DB" w14:textId="53E5AF75">
            <w:pPr>
              <w:snapToGrid w:val="0"/>
              <w:spacing w:after="0" w:line="240" w:lineRule="auto"/>
              <w:jc w:val="both"/>
              <w:rPr>
                <w:rFonts w:ascii="Arial" w:hAnsi="Arial" w:cs="Arial"/>
                <w:sz w:val="20"/>
              </w:rPr>
            </w:pPr>
          </w:p>
        </w:tc>
      </w:tr>
      <w:tr w:rsidR="007E164F" w:rsidTr="00EB7BB1" w14:paraId="54B33CD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D113A7" w:rsidP="00D113A7" w:rsidRDefault="003F32FD" w14:paraId="2A9540FA" w14:textId="77777777">
            <w:pPr>
              <w:snapToGrid w:val="0"/>
              <w:spacing w:after="0" w:line="240" w:lineRule="auto"/>
              <w:jc w:val="both"/>
              <w:rPr>
                <w:rFonts w:ascii="Arial" w:hAnsi="Arial" w:eastAsia="Times New Roman" w:cs="Arial"/>
                <w:bCs/>
                <w:sz w:val="20"/>
              </w:rPr>
            </w:pPr>
            <w:r w:rsidRPr="003F32FD">
              <w:rPr>
                <w:rFonts w:ascii="Arial" w:hAnsi="Arial" w:eastAsia="Times New Roman" w:cs="Arial"/>
                <w:bCs/>
                <w:sz w:val="20"/>
              </w:rPr>
              <w:t>La ciencia, tradicionalmente asociada a la investigación y la experimentación, parece distante de las disputas legales que se resuelven en los tribunales. Sin embargo, hay puntos de contacto y elementos que vinculan ambos ámbitos</w:t>
            </w:r>
            <w:r>
              <w:rPr>
                <w:rFonts w:ascii="Arial" w:hAnsi="Arial" w:eastAsia="Times New Roman" w:cs="Arial"/>
                <w:bCs/>
                <w:sz w:val="20"/>
              </w:rPr>
              <w:t xml:space="preserve"> como es el caso del uso de peritajes, pruebas científicas en el proceso y el uso de la tecnología como medio probatorio.</w:t>
            </w:r>
          </w:p>
          <w:p w:rsidRPr="00AE5F05" w:rsidR="00891461" w:rsidP="00D113A7" w:rsidRDefault="00891461" w14:paraId="37BC7A79" w14:textId="7BE5665F">
            <w:pPr>
              <w:snapToGrid w:val="0"/>
              <w:spacing w:after="0" w:line="240" w:lineRule="auto"/>
              <w:jc w:val="both"/>
              <w:rPr>
                <w:rFonts w:ascii="Arial" w:hAnsi="Arial" w:eastAsia="Times New Roman" w:cs="Arial"/>
                <w:bCs/>
                <w:sz w:val="20"/>
              </w:rPr>
            </w:pPr>
          </w:p>
        </w:tc>
      </w:tr>
      <w:tr w:rsidR="007E164F" w:rsidTr="00EB7BB1" w14:paraId="76820E76"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3F32FD" w14:paraId="252423E7" w14:textId="1A218576">
            <w:pPr>
              <w:snapToGrid w:val="0"/>
              <w:spacing w:after="0" w:line="240" w:lineRule="auto"/>
              <w:jc w:val="both"/>
              <w:rPr>
                <w:rFonts w:ascii="Arial" w:hAnsi="Arial" w:eastAsia="Times New Roman" w:cs="Arial"/>
                <w:bCs/>
                <w:color w:val="000000"/>
                <w:sz w:val="20"/>
                <w:lang w:eastAsia="es-ES"/>
              </w:rPr>
            </w:pPr>
            <w:r>
              <w:rPr>
                <w:rFonts w:ascii="Arial" w:hAnsi="Arial" w:eastAsia="Times New Roman" w:cs="Arial"/>
                <w:bCs/>
                <w:color w:val="000000"/>
                <w:sz w:val="20"/>
                <w:lang w:eastAsia="es-ES"/>
              </w:rPr>
              <w:t>N.A.</w:t>
            </w:r>
          </w:p>
        </w:tc>
      </w:tr>
    </w:tbl>
    <w:p w:rsidR="00823EA8" w:rsidP="007E164F" w:rsidRDefault="00823EA8" w14:paraId="02705FD7" w14:textId="77777777">
      <w:pPr>
        <w:spacing w:after="0" w:line="240" w:lineRule="auto"/>
        <w:jc w:val="both"/>
        <w:rPr>
          <w:rFonts w:ascii="Arial" w:hAnsi="Arial" w:cs="Arial"/>
          <w:b/>
          <w:lang w:val="es-MX"/>
        </w:rPr>
      </w:pPr>
    </w:p>
    <w:p w:rsidR="00823EA8" w:rsidP="007E164F" w:rsidRDefault="00823EA8" w14:paraId="65F0A498" w14:textId="77777777">
      <w:pPr>
        <w:spacing w:after="0" w:line="240" w:lineRule="auto"/>
        <w:jc w:val="both"/>
        <w:rPr>
          <w:rFonts w:ascii="Arial" w:hAnsi="Arial" w:cs="Arial"/>
          <w:b/>
          <w:lang w:val="es-MX"/>
        </w:rPr>
      </w:pPr>
    </w:p>
    <w:p w:rsidR="00823EA8" w:rsidP="007E164F" w:rsidRDefault="00823EA8" w14:paraId="550CF705" w14:textId="77777777">
      <w:pPr>
        <w:spacing w:after="0" w:line="240" w:lineRule="auto"/>
        <w:jc w:val="both"/>
        <w:rPr>
          <w:rFonts w:ascii="Arial" w:hAnsi="Arial" w:cs="Arial"/>
          <w:b/>
          <w:lang w:val="es-MX"/>
        </w:rPr>
      </w:pPr>
    </w:p>
    <w:p w:rsidR="00823EA8" w:rsidP="007E164F" w:rsidRDefault="00823EA8" w14:paraId="15BD298F" w14:textId="77777777">
      <w:pPr>
        <w:spacing w:after="0" w:line="240" w:lineRule="auto"/>
        <w:jc w:val="both"/>
        <w:rPr>
          <w:rFonts w:ascii="Arial" w:hAnsi="Arial" w:cs="Arial"/>
          <w:b/>
          <w:lang w:val="es-MX"/>
        </w:rPr>
      </w:pPr>
    </w:p>
    <w:p w:rsidRPr="005C1C59" w:rsidR="007E164F" w:rsidP="00C34F7D" w:rsidRDefault="007E164F" w14:paraId="7671B1E3" w14:textId="0D6EE2D1">
      <w:pPr>
        <w:pStyle w:val="Prrafodelista"/>
        <w:numPr>
          <w:ilvl w:val="1"/>
          <w:numId w:val="21"/>
        </w:numPr>
        <w:spacing w:after="0" w:line="240" w:lineRule="auto"/>
        <w:jc w:val="both"/>
        <w:rPr>
          <w:rFonts w:ascii="Arial" w:hAnsi="Arial" w:cs="Arial"/>
          <w:bCs/>
          <w:sz w:val="2"/>
          <w:szCs w:val="24"/>
        </w:rPr>
      </w:pPr>
      <w:r w:rsidRPr="005C1C59">
        <w:rPr>
          <w:rFonts w:ascii="Arial" w:hAnsi="Arial" w:cs="Arial"/>
          <w:b/>
          <w:szCs w:val="20"/>
        </w:rPr>
        <w:t>DISPOSICIÓN FINAL</w:t>
      </w:r>
      <w:r w:rsidRPr="005C1C59">
        <w:rPr>
          <w:rFonts w:ascii="Arial" w:hAnsi="Arial" w:cs="Arial"/>
          <w:bCs/>
          <w:sz w:val="2"/>
          <w:szCs w:val="24"/>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00EB7BB1" w14:paraId="3CC4366F" w14:textId="77777777">
        <w:tc>
          <w:tcPr>
            <w:tcW w:w="4728" w:type="dxa"/>
            <w:tcBorders>
              <w:top w:val="single" w:color="000000" w:sz="4" w:space="0"/>
              <w:left w:val="single" w:color="000000" w:sz="4" w:space="0"/>
              <w:bottom w:val="single" w:color="000000" w:sz="4" w:space="0"/>
            </w:tcBorders>
            <w:shd w:val="clear" w:color="auto" w:fill="auto"/>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rsidR="007E164F" w:rsidP="00EB7BB1" w:rsidRDefault="007E164F" w14:paraId="457BE31A" w14:textId="43E14F0B">
            <w:pPr>
              <w:spacing w:after="0"/>
              <w:jc w:val="center"/>
            </w:pPr>
          </w:p>
        </w:tc>
      </w:tr>
      <w:tr w:rsidR="007E164F" w:rsidTr="00EB7BB1" w14:paraId="013DAE0A" w14:textId="77777777">
        <w:trPr>
          <w:cantSplit/>
          <w:trHeight w:val="59"/>
        </w:trPr>
        <w:tc>
          <w:tcPr>
            <w:tcW w:w="4728" w:type="dxa"/>
            <w:vMerge w:val="restart"/>
            <w:tcBorders>
              <w:top w:val="single" w:color="000000" w:sz="4" w:space="0"/>
              <w:left w:val="single" w:color="000000" w:sz="4" w:space="0"/>
              <w:bottom w:val="single" w:color="000000" w:sz="4" w:space="0"/>
            </w:tcBorders>
            <w:shd w:val="clear" w:color="auto" w:fill="auto"/>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F2621C" w14:paraId="012EF370" w14:textId="695CCEBC">
            <w:pPr>
              <w:tabs>
                <w:tab w:val="left" w:pos="972"/>
              </w:tabs>
              <w:snapToGrid w:val="0"/>
              <w:spacing w:after="0"/>
              <w:jc w:val="center"/>
              <w:rPr>
                <w:rFonts w:ascii="Arial" w:hAnsi="Arial" w:cs="Arial"/>
                <w:b/>
              </w:rPr>
            </w:pPr>
            <w:r>
              <w:t>X</w:t>
            </w:r>
          </w:p>
        </w:tc>
      </w:tr>
      <w:tr w:rsidR="007E164F" w:rsidTr="00EB7BB1" w14:paraId="3620C1C9"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00EB7BB1" w14:paraId="0A54EBBD" w14:textId="77777777">
        <w:trPr>
          <w:cantSplit/>
          <w:trHeight w:val="57"/>
        </w:trPr>
        <w:tc>
          <w:tcPr>
            <w:tcW w:w="4728" w:type="dxa"/>
            <w:vMerge/>
            <w:tcBorders>
              <w:top w:val="single" w:color="000000" w:sz="4" w:space="0"/>
              <w:left w:val="single" w:color="000000" w:sz="4" w:space="0"/>
              <w:bottom w:val="single" w:color="000000" w:sz="4" w:space="0"/>
            </w:tcBorders>
            <w:shd w:val="clear" w:color="auto" w:fill="auto"/>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sz="4" w:space="0"/>
              <w:left w:val="single" w:color="000000" w:sz="4" w:space="0"/>
              <w:bottom w:val="single" w:color="000000" w:sz="4" w:space="0"/>
            </w:tcBorders>
            <w:shd w:val="clear" w:color="auto" w:fill="auto"/>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C34F7D"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C34F7D"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lastRenderedPageBreak/>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311208" w:rsidR="007E164F" w:rsidP="00311208"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2F30EDD9" w:rsidR="037650FD">
        <w:rPr>
          <w:rFonts w:ascii="Arial" w:hAnsi="Arial" w:cs="Arial"/>
          <w:b w:val="1"/>
          <w:bCs w:val="1"/>
          <w:sz w:val="20"/>
          <w:szCs w:val="20"/>
        </w:rPr>
        <w:t xml:space="preserve">Procedimiento TRD: </w:t>
      </w:r>
    </w:p>
    <w:p w:rsidR="2AC8647D" w:rsidP="2F30EDD9" w:rsidRDefault="2AC8647D" w14:paraId="790D2CD1" w14:textId="33281714">
      <w:pPr>
        <w:pStyle w:val="Normal"/>
        <w:jc w:val="both"/>
      </w:pPr>
      <w:r w:rsidRPr="2F30EDD9" w:rsidR="2AC8647D">
        <w:rPr>
          <w:rFonts w:ascii="Arial" w:hAnsi="Arial" w:cs="Arial"/>
          <w:sz w:val="20"/>
          <w:szCs w:val="20"/>
        </w:rPr>
        <w:t>Subserie que contiene información de los procesos que se adelantan en la Jurisdicción Ordinaria en su especialidad laboral y de seguridad social, para resolver asuntos de carácter laboral con servidores o ex-servidores de la entidad. Son referentes para realizar prevención de contingencias jurídicas y una efectiva defensa ante los despachos judiciales establecidos en la Ley 712 de 2001.</w:t>
      </w:r>
    </w:p>
    <w:p w:rsidR="2AC8647D" w:rsidP="2F30EDD9" w:rsidRDefault="2AC8647D" w14:paraId="7D80882C" w14:textId="75BB148F">
      <w:pPr>
        <w:pStyle w:val="Normal"/>
        <w:jc w:val="both"/>
      </w:pPr>
      <w:r w:rsidRPr="2F30EDD9" w:rsidR="2AC8647D">
        <w:rPr>
          <w:rFonts w:ascii="Arial" w:hAnsi="Arial" w:cs="Arial"/>
          <w:sz w:val="20"/>
          <w:szCs w:val="20"/>
        </w:rPr>
        <w:t xml:space="preserve">Se conserva 2 años en el archivo de gestión, contados a partir de la fecha de decisión del acto que pone fin al proceso. Una vez culminado este tiempo, se transfiere al archivo central, en donde se conservará por 8 años más.  </w:t>
      </w:r>
    </w:p>
    <w:p w:rsidR="2AC8647D" w:rsidP="2F30EDD9" w:rsidRDefault="2AC8647D" w14:paraId="141BAD71" w14:textId="4CFE017A">
      <w:pPr>
        <w:pStyle w:val="Normal"/>
        <w:jc w:val="both"/>
      </w:pPr>
      <w:r w:rsidRPr="2F30EDD9" w:rsidR="2AC8647D">
        <w:rPr>
          <w:rFonts w:ascii="Arial" w:hAnsi="Arial" w:cs="Arial"/>
          <w:sz w:val="20"/>
          <w:szCs w:val="20"/>
        </w:rPr>
        <w:t>Son documentos de conservación total, ya que, es una subserie vinculada directamente a la historia laboral del funcionario y son fundamentales para la historia jurídica, laboral y sindical en las que se puede reconocer las obligaciones emanadas de la relación de trabajo, de los asuntos sobre fuero sindical de los trabajadores públicos; además, del reconocimiento histórico de las sanciones de suspensión temporal.</w:t>
      </w:r>
    </w:p>
    <w:p w:rsidR="2AC8647D" w:rsidP="2F30EDD9" w:rsidRDefault="2AC8647D" w14:paraId="387EB29A" w14:textId="02721F3F">
      <w:pPr>
        <w:pStyle w:val="Normal"/>
        <w:jc w:val="both"/>
        <w:rPr>
          <w:rFonts w:ascii="Arial" w:hAnsi="Arial" w:cs="Arial"/>
          <w:sz w:val="20"/>
          <w:szCs w:val="20"/>
        </w:rPr>
      </w:pPr>
      <w:r w:rsidRPr="2F30EDD9" w:rsidR="2AC8647D">
        <w:rPr>
          <w:rFonts w:ascii="Arial" w:hAnsi="Arial" w:cs="Arial"/>
          <w:sz w:val="20"/>
          <w:szCs w:val="20"/>
        </w:rPr>
        <w:t>Los documentos se conservarán en su totalidad en soporte original y se realizará el procedimiento de digitalización de acuerdo a lo establecido en la memoria descriptiva; una vez concluido los tiempos de retención en el archivo central, los documentos serán transferidos en su soporte original al Archivo General de la Nación.</w:t>
      </w: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5EA6" w:rsidP="00757B36" w:rsidRDefault="00975EA6" w14:paraId="547D717C" w14:textId="77777777">
      <w:pPr>
        <w:spacing w:after="0" w:line="240" w:lineRule="auto"/>
      </w:pPr>
      <w:r>
        <w:separator/>
      </w:r>
    </w:p>
  </w:endnote>
  <w:endnote w:type="continuationSeparator" w:id="0">
    <w:p w:rsidR="00975EA6" w:rsidP="00757B36" w:rsidRDefault="00975EA6" w14:paraId="630097D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5EA6" w:rsidP="00757B36" w:rsidRDefault="00975EA6" w14:paraId="41CE1F24" w14:textId="77777777">
      <w:pPr>
        <w:spacing w:after="0" w:line="240" w:lineRule="auto"/>
      </w:pPr>
      <w:r>
        <w:separator/>
      </w:r>
    </w:p>
  </w:footnote>
  <w:footnote w:type="continuationSeparator" w:id="0">
    <w:p w:rsidR="00975EA6" w:rsidP="00757B36" w:rsidRDefault="00975EA6" w14:paraId="20C06EE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9"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3A4074FE"/>
    <w:multiLevelType w:val="hybridMultilevel"/>
    <w:tmpl w:val="E5208FE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6"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9"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0"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2"/>
  </w:num>
  <w:num w:numId="2">
    <w:abstractNumId w:val="13"/>
  </w:num>
  <w:num w:numId="3">
    <w:abstractNumId w:val="8"/>
  </w:num>
  <w:num w:numId="4">
    <w:abstractNumId w:val="9"/>
  </w:num>
  <w:num w:numId="5">
    <w:abstractNumId w:val="16"/>
  </w:num>
  <w:num w:numId="6">
    <w:abstractNumId w:val="5"/>
  </w:num>
  <w:num w:numId="7">
    <w:abstractNumId w:val="2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4"/>
  </w:num>
  <w:num w:numId="12">
    <w:abstractNumId w:val="6"/>
  </w:num>
  <w:num w:numId="13">
    <w:abstractNumId w:val="0"/>
  </w:num>
  <w:num w:numId="14">
    <w:abstractNumId w:val="3"/>
  </w:num>
  <w:num w:numId="15">
    <w:abstractNumId w:val="11"/>
  </w:num>
  <w:num w:numId="16">
    <w:abstractNumId w:val="19"/>
  </w:num>
  <w:num w:numId="17">
    <w:abstractNumId w:val="12"/>
  </w:num>
  <w:num w:numId="18">
    <w:abstractNumId w:val="7"/>
  </w:num>
  <w:num w:numId="19">
    <w:abstractNumId w:val="14"/>
  </w:num>
  <w:num w:numId="20">
    <w:abstractNumId w:val="15"/>
  </w:num>
  <w:num w:numId="21">
    <w:abstractNumId w:val="17"/>
  </w:num>
  <w:num w:numId="22">
    <w:abstractNumId w:val="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37F83"/>
    <w:rsid w:val="000534C0"/>
    <w:rsid w:val="000678E0"/>
    <w:rsid w:val="00084B8F"/>
    <w:rsid w:val="000A76A1"/>
    <w:rsid w:val="000B7F34"/>
    <w:rsid w:val="000D5299"/>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5CD3"/>
    <w:rsid w:val="002A1FE8"/>
    <w:rsid w:val="002E549B"/>
    <w:rsid w:val="0030489C"/>
    <w:rsid w:val="00304ED1"/>
    <w:rsid w:val="00311208"/>
    <w:rsid w:val="00312ED8"/>
    <w:rsid w:val="003136CF"/>
    <w:rsid w:val="003202C1"/>
    <w:rsid w:val="0033454A"/>
    <w:rsid w:val="003474BC"/>
    <w:rsid w:val="00381339"/>
    <w:rsid w:val="003A0D6A"/>
    <w:rsid w:val="003A4662"/>
    <w:rsid w:val="003B0891"/>
    <w:rsid w:val="003F0D17"/>
    <w:rsid w:val="003F32FD"/>
    <w:rsid w:val="003F6F78"/>
    <w:rsid w:val="0041535F"/>
    <w:rsid w:val="00434711"/>
    <w:rsid w:val="00436E05"/>
    <w:rsid w:val="00473167"/>
    <w:rsid w:val="00480ED7"/>
    <w:rsid w:val="00490A59"/>
    <w:rsid w:val="00492F29"/>
    <w:rsid w:val="004C2BB0"/>
    <w:rsid w:val="004F25ED"/>
    <w:rsid w:val="004F49F9"/>
    <w:rsid w:val="005030B5"/>
    <w:rsid w:val="00521578"/>
    <w:rsid w:val="00523773"/>
    <w:rsid w:val="00532555"/>
    <w:rsid w:val="005375E5"/>
    <w:rsid w:val="0054381C"/>
    <w:rsid w:val="005540AA"/>
    <w:rsid w:val="00566FB9"/>
    <w:rsid w:val="00584134"/>
    <w:rsid w:val="005C1C59"/>
    <w:rsid w:val="005C4F05"/>
    <w:rsid w:val="005D3F26"/>
    <w:rsid w:val="005E0DD9"/>
    <w:rsid w:val="005F385B"/>
    <w:rsid w:val="005F596F"/>
    <w:rsid w:val="005F6B59"/>
    <w:rsid w:val="0060531D"/>
    <w:rsid w:val="00633744"/>
    <w:rsid w:val="0063375E"/>
    <w:rsid w:val="00633A19"/>
    <w:rsid w:val="00634FAD"/>
    <w:rsid w:val="00637CD4"/>
    <w:rsid w:val="0064339E"/>
    <w:rsid w:val="00646A00"/>
    <w:rsid w:val="0069157D"/>
    <w:rsid w:val="006D7A3C"/>
    <w:rsid w:val="006F377E"/>
    <w:rsid w:val="006F4964"/>
    <w:rsid w:val="00714CBA"/>
    <w:rsid w:val="0072211B"/>
    <w:rsid w:val="00723491"/>
    <w:rsid w:val="007309A7"/>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23EA8"/>
    <w:rsid w:val="00831330"/>
    <w:rsid w:val="00861332"/>
    <w:rsid w:val="00883682"/>
    <w:rsid w:val="00891461"/>
    <w:rsid w:val="00892C25"/>
    <w:rsid w:val="0089671A"/>
    <w:rsid w:val="008A230A"/>
    <w:rsid w:val="008D08FD"/>
    <w:rsid w:val="008D517A"/>
    <w:rsid w:val="008E7F9C"/>
    <w:rsid w:val="008F195E"/>
    <w:rsid w:val="008F367D"/>
    <w:rsid w:val="009235DD"/>
    <w:rsid w:val="0096034A"/>
    <w:rsid w:val="00974D63"/>
    <w:rsid w:val="00975EA6"/>
    <w:rsid w:val="009830D0"/>
    <w:rsid w:val="009B57B2"/>
    <w:rsid w:val="009C2C88"/>
    <w:rsid w:val="009D286C"/>
    <w:rsid w:val="009D2D83"/>
    <w:rsid w:val="009D46D7"/>
    <w:rsid w:val="009F17A6"/>
    <w:rsid w:val="00A021C2"/>
    <w:rsid w:val="00A062DE"/>
    <w:rsid w:val="00A22605"/>
    <w:rsid w:val="00A325B8"/>
    <w:rsid w:val="00A44947"/>
    <w:rsid w:val="00A63681"/>
    <w:rsid w:val="00A97B03"/>
    <w:rsid w:val="00A97D85"/>
    <w:rsid w:val="00AA3526"/>
    <w:rsid w:val="00AB5DC6"/>
    <w:rsid w:val="00AC523F"/>
    <w:rsid w:val="00AD000C"/>
    <w:rsid w:val="00B11633"/>
    <w:rsid w:val="00B12503"/>
    <w:rsid w:val="00B61346"/>
    <w:rsid w:val="00B72E5E"/>
    <w:rsid w:val="00B75D91"/>
    <w:rsid w:val="00BE7CF5"/>
    <w:rsid w:val="00C00089"/>
    <w:rsid w:val="00C21CB7"/>
    <w:rsid w:val="00C25E9B"/>
    <w:rsid w:val="00C34F7D"/>
    <w:rsid w:val="00C35622"/>
    <w:rsid w:val="00C4268D"/>
    <w:rsid w:val="00C5374B"/>
    <w:rsid w:val="00C61F27"/>
    <w:rsid w:val="00C8766C"/>
    <w:rsid w:val="00CB607B"/>
    <w:rsid w:val="00CC6A8A"/>
    <w:rsid w:val="00CD34F8"/>
    <w:rsid w:val="00CD5A7F"/>
    <w:rsid w:val="00CD6247"/>
    <w:rsid w:val="00CE5DEC"/>
    <w:rsid w:val="00D01C16"/>
    <w:rsid w:val="00D04766"/>
    <w:rsid w:val="00D04818"/>
    <w:rsid w:val="00D113A7"/>
    <w:rsid w:val="00D15F1F"/>
    <w:rsid w:val="00D16E9E"/>
    <w:rsid w:val="00D34D20"/>
    <w:rsid w:val="00D41457"/>
    <w:rsid w:val="00D418C1"/>
    <w:rsid w:val="00D5567C"/>
    <w:rsid w:val="00D575D3"/>
    <w:rsid w:val="00D77E80"/>
    <w:rsid w:val="00D842BB"/>
    <w:rsid w:val="00DA552A"/>
    <w:rsid w:val="00DB55AE"/>
    <w:rsid w:val="00DE40EF"/>
    <w:rsid w:val="00E00705"/>
    <w:rsid w:val="00E11D01"/>
    <w:rsid w:val="00E4168C"/>
    <w:rsid w:val="00E475E6"/>
    <w:rsid w:val="00E523B1"/>
    <w:rsid w:val="00E7649B"/>
    <w:rsid w:val="00EA1F42"/>
    <w:rsid w:val="00ED16CB"/>
    <w:rsid w:val="00ED4781"/>
    <w:rsid w:val="00EE2471"/>
    <w:rsid w:val="00EE5B0B"/>
    <w:rsid w:val="00EF06D0"/>
    <w:rsid w:val="00F050F8"/>
    <w:rsid w:val="00F156D7"/>
    <w:rsid w:val="00F200D3"/>
    <w:rsid w:val="00F2621C"/>
    <w:rsid w:val="00F263E8"/>
    <w:rsid w:val="00F630B5"/>
    <w:rsid w:val="00F6545F"/>
    <w:rsid w:val="00FC14F5"/>
    <w:rsid w:val="00FC5609"/>
    <w:rsid w:val="00FD636E"/>
    <w:rsid w:val="00FD6655"/>
    <w:rsid w:val="00FD7F84"/>
    <w:rsid w:val="00FE7D00"/>
    <w:rsid w:val="037650FD"/>
    <w:rsid w:val="0CF0B8C4"/>
    <w:rsid w:val="1487D60C"/>
    <w:rsid w:val="1D295378"/>
    <w:rsid w:val="2AC8647D"/>
    <w:rsid w:val="2C815D30"/>
    <w:rsid w:val="2F30EDD9"/>
    <w:rsid w:val="3233A969"/>
    <w:rsid w:val="3421DC59"/>
    <w:rsid w:val="3AA6EE98"/>
    <w:rsid w:val="3B65FD26"/>
    <w:rsid w:val="48830CDD"/>
    <w:rsid w:val="5039B913"/>
    <w:rsid w:val="54612700"/>
    <w:rsid w:val="56E678A1"/>
    <w:rsid w:val="5D3D8CCF"/>
    <w:rsid w:val="60F35D02"/>
    <w:rsid w:val="61A5DDD1"/>
    <w:rsid w:val="62FAC93B"/>
    <w:rsid w:val="646E1162"/>
    <w:rsid w:val="65716562"/>
    <w:rsid w:val="6A735985"/>
    <w:rsid w:val="72891861"/>
    <w:rsid w:val="7361D7CC"/>
    <w:rsid w:val="79456D60"/>
    <w:rsid w:val="796C93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649166426">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33</revision>
  <lastPrinted>2024-06-27T12:28:00.0000000Z</lastPrinted>
  <dcterms:created xsi:type="dcterms:W3CDTF">2024-12-14T01:47:00.0000000Z</dcterms:created>
  <dcterms:modified xsi:type="dcterms:W3CDTF">2024-12-23T10:02:51.1247957Z</dcterms:modified>
</coreProperties>
</file>